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7CC9E7" w14:textId="674DDC8E" w:rsidR="00C56F39" w:rsidRDefault="004329AE" w:rsidP="00C56F39">
      <w:pPr>
        <w:spacing w:line="360" w:lineRule="auto"/>
        <w:ind w:left="482" w:hanging="482"/>
        <w:rPr>
          <w:rFonts w:asciiTheme="minorEastAsia" w:eastAsiaTheme="minorEastAsia" w:hAnsiTheme="minorEastAsia" w:cs="Arial"/>
          <w:b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Arial"/>
          <w:b/>
          <w:sz w:val="32"/>
          <w:szCs w:val="32"/>
        </w:rPr>
        <w:t>附件2</w:t>
      </w:r>
      <w:r w:rsidR="009039BB">
        <w:rPr>
          <w:rFonts w:asciiTheme="minorEastAsia" w:eastAsiaTheme="minorEastAsia" w:hAnsiTheme="minorEastAsia" w:cs="Arial" w:hint="eastAsia"/>
          <w:b/>
          <w:sz w:val="32"/>
          <w:szCs w:val="32"/>
        </w:rPr>
        <w:t xml:space="preserve">: </w:t>
      </w:r>
      <w:r w:rsidR="0069183D">
        <w:rPr>
          <w:rFonts w:asciiTheme="minorEastAsia" w:eastAsiaTheme="minorEastAsia" w:hAnsiTheme="minorEastAsia" w:cs="Arial" w:hint="eastAsia"/>
          <w:b/>
          <w:sz w:val="32"/>
          <w:szCs w:val="32"/>
        </w:rPr>
        <w:t xml:space="preserve">            </w:t>
      </w:r>
      <w:r w:rsidR="000A0FBA">
        <w:rPr>
          <w:rFonts w:asciiTheme="minorEastAsia" w:eastAsiaTheme="minorEastAsia" w:hAnsiTheme="minorEastAsia" w:cs="Arial" w:hint="eastAsia"/>
          <w:b/>
          <w:sz w:val="32"/>
          <w:szCs w:val="32"/>
        </w:rPr>
        <w:t>参展</w:t>
      </w:r>
      <w:r w:rsidR="000A0FBA">
        <w:rPr>
          <w:rFonts w:asciiTheme="minorEastAsia" w:eastAsiaTheme="minorEastAsia" w:hAnsiTheme="minorEastAsia" w:cs="Arial"/>
          <w:b/>
          <w:sz w:val="32"/>
          <w:szCs w:val="32"/>
        </w:rPr>
        <w:t>费用预算表及其说明</w:t>
      </w:r>
    </w:p>
    <w:p w14:paraId="1BBC67EF" w14:textId="77777777" w:rsidR="00AF7D8D" w:rsidRPr="00C56F39" w:rsidRDefault="00AF7D8D" w:rsidP="006C3696">
      <w:pPr>
        <w:spacing w:line="360" w:lineRule="auto"/>
        <w:ind w:left="361" w:hanging="361"/>
        <w:rPr>
          <w:rFonts w:ascii="黑体" w:eastAsia="黑体" w:hAnsi="黑体"/>
          <w:sz w:val="28"/>
          <w:szCs w:val="28"/>
        </w:rPr>
      </w:pPr>
    </w:p>
    <w:tbl>
      <w:tblPr>
        <w:tblpPr w:leftFromText="180" w:rightFromText="180" w:vertAnchor="text" w:horzAnchor="margin" w:tblpX="74" w:tblpY="17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20"/>
        <w:gridCol w:w="2190"/>
        <w:gridCol w:w="337"/>
        <w:gridCol w:w="2640"/>
      </w:tblGrid>
      <w:tr w:rsidR="009B38FC" w:rsidRPr="00A62816" w14:paraId="31AD31DC" w14:textId="77777777" w:rsidTr="00745896">
        <w:trPr>
          <w:trHeight w:val="732"/>
        </w:trPr>
        <w:tc>
          <w:tcPr>
            <w:tcW w:w="709" w:type="dxa"/>
            <w:vAlign w:val="center"/>
          </w:tcPr>
          <w:p w14:paraId="071E166F" w14:textId="77777777" w:rsidR="009B38FC" w:rsidRPr="00AF7D8D" w:rsidRDefault="00C56F39" w:rsidP="00745896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AF7D8D"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811" w:type="dxa"/>
            <w:gridSpan w:val="3"/>
            <w:vAlign w:val="center"/>
          </w:tcPr>
          <w:p w14:paraId="22BEB7BD" w14:textId="42340581" w:rsidR="0069183D" w:rsidRPr="00745896" w:rsidRDefault="0069183D" w:rsidP="00745896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745896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沙特建筑建材及基础设施展</w:t>
            </w:r>
            <w:r w:rsidR="00745896" w:rsidRPr="00745896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览会</w:t>
            </w:r>
            <w:r w:rsidRPr="00745896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(SIE 2024)</w:t>
            </w:r>
          </w:p>
          <w:p w14:paraId="284F4B8F" w14:textId="32A6B47C" w:rsidR="009B38FC" w:rsidRPr="00745896" w:rsidRDefault="0069183D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45896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费</w:t>
            </w:r>
            <w:r w:rsidR="00C56F39" w:rsidRPr="0074589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用项目</w:t>
            </w:r>
          </w:p>
        </w:tc>
        <w:tc>
          <w:tcPr>
            <w:tcW w:w="2977" w:type="dxa"/>
            <w:gridSpan w:val="2"/>
            <w:vAlign w:val="center"/>
          </w:tcPr>
          <w:p w14:paraId="05127F60" w14:textId="4E7D3B9F" w:rsidR="009B38FC" w:rsidRPr="00745896" w:rsidRDefault="00C56F39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45896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金额</w:t>
            </w:r>
          </w:p>
        </w:tc>
      </w:tr>
      <w:tr w:rsidR="009B38FC" w:rsidRPr="00425BCE" w14:paraId="123F3647" w14:textId="77777777" w:rsidTr="00745896">
        <w:trPr>
          <w:trHeight w:val="732"/>
        </w:trPr>
        <w:tc>
          <w:tcPr>
            <w:tcW w:w="709" w:type="dxa"/>
            <w:vAlign w:val="center"/>
          </w:tcPr>
          <w:p w14:paraId="5C5E904C" w14:textId="77777777" w:rsidR="009B38FC" w:rsidRPr="00AF7D8D" w:rsidRDefault="00C56F39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5811" w:type="dxa"/>
            <w:gridSpan w:val="3"/>
            <w:vAlign w:val="center"/>
          </w:tcPr>
          <w:p w14:paraId="32D2A979" w14:textId="77777777" w:rsidR="009B38FC" w:rsidRPr="00AF7D8D" w:rsidRDefault="00C56F39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注册费</w:t>
            </w:r>
          </w:p>
        </w:tc>
        <w:tc>
          <w:tcPr>
            <w:tcW w:w="2977" w:type="dxa"/>
            <w:gridSpan w:val="2"/>
            <w:vAlign w:val="center"/>
          </w:tcPr>
          <w:p w14:paraId="56BC5615" w14:textId="6198FF67" w:rsidR="00331D25" w:rsidRPr="00AF7D8D" w:rsidRDefault="00AD2791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500</w:t>
            </w: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美元</w:t>
            </w:r>
            <w:r w:rsidR="00C56F39" w:rsidRPr="00AF7D8D">
              <w:rPr>
                <w:rFonts w:asciiTheme="minorEastAsia" w:eastAsiaTheme="minorEastAsia" w:hAnsiTheme="minorEastAsia"/>
                <w:kern w:val="0"/>
                <w:sz w:val="24"/>
              </w:rPr>
              <w:t>/</w:t>
            </w:r>
            <w:r w:rsidR="00902380"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企业</w:t>
            </w:r>
            <w:r w:rsidR="00C56F39" w:rsidRPr="00AF7D8D">
              <w:rPr>
                <w:rFonts w:asciiTheme="minorEastAsia" w:eastAsiaTheme="minorEastAsia" w:hAnsiTheme="minorEastAsia"/>
                <w:kern w:val="0"/>
                <w:sz w:val="24"/>
              </w:rPr>
              <w:t xml:space="preserve">  </w:t>
            </w:r>
          </w:p>
        </w:tc>
      </w:tr>
      <w:tr w:rsidR="009B38FC" w:rsidRPr="007E4FCF" w14:paraId="3D817A23" w14:textId="77777777" w:rsidTr="00745896">
        <w:trPr>
          <w:trHeight w:val="745"/>
        </w:trPr>
        <w:tc>
          <w:tcPr>
            <w:tcW w:w="709" w:type="dxa"/>
            <w:vMerge w:val="restart"/>
            <w:vAlign w:val="center"/>
          </w:tcPr>
          <w:p w14:paraId="1E1202AF" w14:textId="77777777" w:rsidR="009B38FC" w:rsidRPr="00AF7D8D" w:rsidRDefault="00C56F39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3FDB297" w14:textId="77777777" w:rsidR="009B38FC" w:rsidRPr="00AF7D8D" w:rsidRDefault="00C56F39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展位费</w:t>
            </w:r>
          </w:p>
        </w:tc>
        <w:tc>
          <w:tcPr>
            <w:tcW w:w="1920" w:type="dxa"/>
            <w:vMerge w:val="restart"/>
            <w:vAlign w:val="center"/>
          </w:tcPr>
          <w:p w14:paraId="56A03727" w14:textId="77777777" w:rsidR="00AD2791" w:rsidRPr="00AF7D8D" w:rsidRDefault="00C56F39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室内</w:t>
            </w: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标准展位</w:t>
            </w:r>
          </w:p>
          <w:p w14:paraId="26B91B7B" w14:textId="5CFED243" w:rsidR="006B2518" w:rsidRPr="00AF7D8D" w:rsidRDefault="00C56F39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Pr="00AF7D8D">
              <w:rPr>
                <w:rFonts w:asciiTheme="minorEastAsia" w:eastAsiaTheme="minorEastAsia" w:hAnsiTheme="minorEastAsia" w:cs="Arial"/>
                <w:color w:val="000000"/>
                <w:sz w:val="24"/>
              </w:rPr>
              <w:t>9</w:t>
            </w:r>
            <w:r w:rsidRPr="00AF7D8D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㎡</w:t>
            </w:r>
            <w:r w:rsidR="00AD2791" w:rsidRPr="00AF7D8D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及以上</w:t>
            </w: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  <w:tc>
          <w:tcPr>
            <w:tcW w:w="2190" w:type="dxa"/>
            <w:vAlign w:val="center"/>
          </w:tcPr>
          <w:p w14:paraId="2660023F" w14:textId="77777777" w:rsidR="009B38FC" w:rsidRPr="00AF7D8D" w:rsidRDefault="00C56F39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一面开</w:t>
            </w:r>
          </w:p>
        </w:tc>
        <w:tc>
          <w:tcPr>
            <w:tcW w:w="2977" w:type="dxa"/>
            <w:gridSpan w:val="2"/>
            <w:vAlign w:val="center"/>
          </w:tcPr>
          <w:p w14:paraId="4C42E614" w14:textId="61308DAE" w:rsidR="009B38FC" w:rsidRPr="00AF7D8D" w:rsidRDefault="00AD2791" w:rsidP="001B4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cs="Arial"/>
                <w:sz w:val="24"/>
              </w:rPr>
              <w:t>6</w:t>
            </w:r>
            <w:r w:rsidR="001B44DC">
              <w:rPr>
                <w:rFonts w:asciiTheme="minorEastAsia" w:eastAsiaTheme="minorEastAsia" w:hAnsiTheme="minorEastAsia" w:cs="Arial" w:hint="eastAsia"/>
                <w:sz w:val="24"/>
              </w:rPr>
              <w:t>7</w:t>
            </w:r>
            <w:r w:rsidR="00745896">
              <w:rPr>
                <w:rFonts w:asciiTheme="minorEastAsia" w:eastAsiaTheme="minorEastAsia" w:hAnsiTheme="minorEastAsia" w:cs="Arial" w:hint="eastAsia"/>
                <w:sz w:val="24"/>
              </w:rPr>
              <w:t>0</w:t>
            </w:r>
            <w:r w:rsidRPr="00AF7D8D">
              <w:rPr>
                <w:rFonts w:asciiTheme="minorEastAsia" w:eastAsiaTheme="minorEastAsia" w:hAnsiTheme="minorEastAsia" w:cs="Arial" w:hint="eastAsia"/>
                <w:sz w:val="24"/>
              </w:rPr>
              <w:t>美元</w:t>
            </w:r>
            <w:r w:rsidR="00C56F39" w:rsidRPr="00AF7D8D">
              <w:rPr>
                <w:rFonts w:asciiTheme="minorEastAsia" w:eastAsiaTheme="minorEastAsia" w:hAnsiTheme="minorEastAsia" w:cs="Arial"/>
                <w:sz w:val="24"/>
              </w:rPr>
              <w:t>/㎡</w:t>
            </w:r>
          </w:p>
        </w:tc>
      </w:tr>
      <w:tr w:rsidR="009B38FC" w:rsidRPr="007E4FCF" w14:paraId="04D9B11E" w14:textId="77777777" w:rsidTr="00745896">
        <w:trPr>
          <w:trHeight w:val="732"/>
        </w:trPr>
        <w:tc>
          <w:tcPr>
            <w:tcW w:w="709" w:type="dxa"/>
            <w:vMerge/>
            <w:vAlign w:val="center"/>
          </w:tcPr>
          <w:p w14:paraId="2B3767A2" w14:textId="77777777" w:rsidR="009B38FC" w:rsidRPr="00AF7D8D" w:rsidRDefault="009B38FC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8F804E" w14:textId="77777777" w:rsidR="009B38FC" w:rsidRPr="00AF7D8D" w:rsidRDefault="009B38FC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14:paraId="2739EAA2" w14:textId="77777777" w:rsidR="009B38FC" w:rsidRPr="00AF7D8D" w:rsidRDefault="009B38FC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73EB0876" w14:textId="1D1049B9" w:rsidR="009B38FC" w:rsidRPr="00AF7D8D" w:rsidRDefault="00AD2791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双</w:t>
            </w:r>
            <w:r w:rsidR="00C56F39" w:rsidRPr="00AF7D8D">
              <w:rPr>
                <w:rFonts w:asciiTheme="minorEastAsia" w:eastAsiaTheme="minorEastAsia" w:hAnsiTheme="minorEastAsia"/>
                <w:kern w:val="0"/>
                <w:sz w:val="24"/>
              </w:rPr>
              <w:t>开</w:t>
            </w:r>
            <w:r w:rsidR="007E7C52"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加收</w:t>
            </w:r>
            <w:r w:rsidR="007E7C52" w:rsidRPr="00AF7D8D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  <w:r w:rsidR="007E7C52"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0</w:t>
            </w:r>
            <w:r w:rsidR="007E7C52" w:rsidRPr="00AF7D8D">
              <w:rPr>
                <w:rFonts w:asciiTheme="minorEastAsia" w:eastAsiaTheme="minorEastAsia" w:hAnsiTheme="minorEastAsia"/>
                <w:kern w:val="0"/>
                <w:sz w:val="24"/>
              </w:rPr>
              <w:t>%）</w:t>
            </w:r>
          </w:p>
        </w:tc>
        <w:tc>
          <w:tcPr>
            <w:tcW w:w="2977" w:type="dxa"/>
            <w:gridSpan w:val="2"/>
            <w:vAlign w:val="center"/>
          </w:tcPr>
          <w:p w14:paraId="1AB09F3D" w14:textId="642FBA42" w:rsidR="009B38FC" w:rsidRPr="00AF7D8D" w:rsidRDefault="00AD2791" w:rsidP="001B44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7</w:t>
            </w:r>
            <w:r w:rsidR="001B44D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37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美元</w:t>
            </w:r>
            <w:r w:rsidR="007E7C52" w:rsidRPr="00AF7D8D">
              <w:rPr>
                <w:rFonts w:asciiTheme="minorEastAsia" w:eastAsiaTheme="minorEastAsia" w:hAnsiTheme="minorEastAsia" w:cs="Arial"/>
                <w:sz w:val="24"/>
              </w:rPr>
              <w:t>/㎡</w:t>
            </w:r>
          </w:p>
        </w:tc>
      </w:tr>
      <w:tr w:rsidR="009B38FC" w:rsidRPr="00425BCE" w14:paraId="69B7C080" w14:textId="77777777" w:rsidTr="00745896">
        <w:trPr>
          <w:trHeight w:val="790"/>
        </w:trPr>
        <w:tc>
          <w:tcPr>
            <w:tcW w:w="709" w:type="dxa"/>
            <w:vMerge/>
            <w:vAlign w:val="center"/>
          </w:tcPr>
          <w:p w14:paraId="2E6C8A17" w14:textId="77777777" w:rsidR="009B38FC" w:rsidRPr="00AF7D8D" w:rsidRDefault="009B38FC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4FA650E" w14:textId="77777777" w:rsidR="009B38FC" w:rsidRPr="00AF7D8D" w:rsidRDefault="009B38FC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0F6E3CC6" w14:textId="131E32FA" w:rsidR="00AD2791" w:rsidRPr="00AF7D8D" w:rsidRDefault="00C56F39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室内光地</w:t>
            </w:r>
          </w:p>
          <w:p w14:paraId="6503959D" w14:textId="6930C7CF" w:rsidR="009B38FC" w:rsidRPr="00AF7D8D" w:rsidRDefault="00C56F39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="00AD2791" w:rsidRPr="00AF7D8D">
              <w:rPr>
                <w:rFonts w:asciiTheme="minorEastAsia" w:eastAsiaTheme="minorEastAsia" w:hAnsiTheme="minorEastAsia"/>
                <w:kern w:val="0"/>
                <w:sz w:val="24"/>
              </w:rPr>
              <w:t>18</w:t>
            </w: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㎡</w:t>
            </w:r>
            <w:r w:rsidR="00AD2791"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及</w:t>
            </w: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以上）</w:t>
            </w:r>
          </w:p>
        </w:tc>
        <w:tc>
          <w:tcPr>
            <w:tcW w:w="2190" w:type="dxa"/>
            <w:vAlign w:val="center"/>
          </w:tcPr>
          <w:p w14:paraId="558F8578" w14:textId="27630086" w:rsidR="009B38FC" w:rsidRPr="00AF7D8D" w:rsidRDefault="001B44DC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B44DC">
              <w:rPr>
                <w:rFonts w:asciiTheme="minorEastAsia" w:eastAsiaTheme="minorEastAsia" w:hAnsiTheme="minorEastAsia" w:hint="eastAsia"/>
                <w:kern w:val="0"/>
                <w:sz w:val="24"/>
              </w:rPr>
              <w:t>不含任何展具设施</w:t>
            </w:r>
          </w:p>
        </w:tc>
        <w:tc>
          <w:tcPr>
            <w:tcW w:w="2977" w:type="dxa"/>
            <w:gridSpan w:val="2"/>
            <w:vAlign w:val="center"/>
          </w:tcPr>
          <w:p w14:paraId="7E0039D6" w14:textId="01C8AE41" w:rsidR="009B38FC" w:rsidRPr="00AF7D8D" w:rsidRDefault="00AD2791" w:rsidP="001B44D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cs="Arial"/>
                <w:sz w:val="24"/>
              </w:rPr>
              <w:t>5</w:t>
            </w:r>
            <w:r w:rsidR="001B44DC">
              <w:rPr>
                <w:rFonts w:asciiTheme="minorEastAsia" w:eastAsiaTheme="minorEastAsia" w:hAnsiTheme="minorEastAsia" w:cs="Arial" w:hint="eastAsia"/>
                <w:sz w:val="24"/>
              </w:rPr>
              <w:t>7</w:t>
            </w:r>
            <w:r w:rsidR="00745896">
              <w:rPr>
                <w:rFonts w:asciiTheme="minorEastAsia" w:eastAsiaTheme="minorEastAsia" w:hAnsiTheme="minorEastAsia" w:cs="Arial" w:hint="eastAsia"/>
                <w:sz w:val="24"/>
              </w:rPr>
              <w:t>0</w:t>
            </w:r>
            <w:r w:rsidRPr="00AF7D8D">
              <w:rPr>
                <w:rFonts w:asciiTheme="minorEastAsia" w:eastAsiaTheme="minorEastAsia" w:hAnsiTheme="minorEastAsia" w:cs="Arial" w:hint="eastAsia"/>
                <w:sz w:val="24"/>
              </w:rPr>
              <w:t>美元</w:t>
            </w:r>
            <w:r w:rsidR="00C56F39" w:rsidRPr="00AF7D8D">
              <w:rPr>
                <w:rFonts w:asciiTheme="minorEastAsia" w:eastAsiaTheme="minorEastAsia" w:hAnsiTheme="minorEastAsia" w:cs="Arial"/>
                <w:sz w:val="24"/>
              </w:rPr>
              <w:t>/㎡</w:t>
            </w:r>
          </w:p>
        </w:tc>
      </w:tr>
      <w:tr w:rsidR="009039BB" w:rsidRPr="00425BCE" w14:paraId="62CB29C0" w14:textId="77777777" w:rsidTr="00745896">
        <w:trPr>
          <w:trHeight w:val="887"/>
        </w:trPr>
        <w:tc>
          <w:tcPr>
            <w:tcW w:w="709" w:type="dxa"/>
            <w:vAlign w:val="center"/>
          </w:tcPr>
          <w:p w14:paraId="2B161B0D" w14:textId="77777777" w:rsidR="009039BB" w:rsidRPr="00AF7D8D" w:rsidRDefault="009039BB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A1880F7" w14:textId="6CC0CA17" w:rsidR="009039BB" w:rsidRPr="00AF7D8D" w:rsidRDefault="00AD2791" w:rsidP="00745896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推广</w:t>
            </w:r>
            <w:r w:rsidR="009039BB"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费</w:t>
            </w:r>
          </w:p>
        </w:tc>
        <w:tc>
          <w:tcPr>
            <w:tcW w:w="7087" w:type="dxa"/>
            <w:gridSpan w:val="4"/>
            <w:vAlign w:val="center"/>
          </w:tcPr>
          <w:p w14:paraId="691842E5" w14:textId="37D0D570" w:rsidR="009039BB" w:rsidRPr="00AF7D8D" w:rsidRDefault="00AD2791" w:rsidP="00745896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595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美元</w:t>
            </w:r>
            <w:r w:rsidR="009039BB" w:rsidRPr="00AF7D8D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/企业</w:t>
            </w:r>
          </w:p>
        </w:tc>
      </w:tr>
      <w:tr w:rsidR="00AF7D8D" w:rsidRPr="00425BCE" w14:paraId="0AA8C27B" w14:textId="77777777" w:rsidTr="00745896">
        <w:trPr>
          <w:trHeight w:val="900"/>
        </w:trPr>
        <w:tc>
          <w:tcPr>
            <w:tcW w:w="709" w:type="dxa"/>
            <w:vAlign w:val="center"/>
          </w:tcPr>
          <w:p w14:paraId="270D8D6F" w14:textId="77777777" w:rsidR="00AF7D8D" w:rsidRPr="00AF7D8D" w:rsidRDefault="00AF7D8D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F79744" w14:textId="09D98791" w:rsidR="00AF7D8D" w:rsidRPr="00AF7D8D" w:rsidRDefault="00AF7D8D" w:rsidP="00745896">
            <w:pPr>
              <w:ind w:left="240" w:rightChars="-51" w:right="-107" w:hangingChars="100" w:hanging="240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展期</w:t>
            </w:r>
            <w:r w:rsidRPr="00AF7D8D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人员费</w:t>
            </w:r>
          </w:p>
        </w:tc>
        <w:tc>
          <w:tcPr>
            <w:tcW w:w="7087" w:type="dxa"/>
            <w:gridSpan w:val="4"/>
            <w:vAlign w:val="center"/>
          </w:tcPr>
          <w:p w14:paraId="2E72F188" w14:textId="74EFD401" w:rsidR="00AF7D8D" w:rsidRPr="00AF7D8D" w:rsidRDefault="00AF7D8D" w:rsidP="00A722D6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24800元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人民币</w:t>
            </w:r>
            <w:r w:rsidRPr="00AF7D8D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/人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，含</w:t>
            </w:r>
            <w:r w:rsidR="0074589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展期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行程境外酒店，</w:t>
            </w:r>
            <w:r w:rsidR="0074589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餐饮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，</w:t>
            </w:r>
            <w:r w:rsidR="0074589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交通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，</w:t>
            </w:r>
            <w:r w:rsidR="00745896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往返</w:t>
            </w:r>
            <w:r w:rsidRPr="00AF7D8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机票，不含签证费。</w:t>
            </w:r>
            <w:r w:rsidR="0069183D" w:rsidRPr="0055156C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AF7D8D" w:rsidRPr="00425BCE" w14:paraId="4DB05BB8" w14:textId="77777777" w:rsidTr="00745896">
        <w:trPr>
          <w:trHeight w:val="900"/>
        </w:trPr>
        <w:tc>
          <w:tcPr>
            <w:tcW w:w="709" w:type="dxa"/>
            <w:vAlign w:val="center"/>
          </w:tcPr>
          <w:p w14:paraId="07399485" w14:textId="77777777" w:rsidR="00AF7D8D" w:rsidRPr="0002343E" w:rsidRDefault="00AF7D8D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343E"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595193D1" w14:textId="77777777" w:rsidR="0002343E" w:rsidRPr="0002343E" w:rsidRDefault="00745896" w:rsidP="0002343E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02343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沙特增值税</w:t>
            </w:r>
          </w:p>
          <w:p w14:paraId="47036FC2" w14:textId="29A0AAEE" w:rsidR="00AF7D8D" w:rsidRPr="0002343E" w:rsidRDefault="00AF7D8D" w:rsidP="0002343E">
            <w:pPr>
              <w:ind w:rightChars="-51" w:right="-107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02343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V</w:t>
            </w:r>
            <w:r w:rsidRPr="0002343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AT</w:t>
            </w:r>
          </w:p>
        </w:tc>
        <w:tc>
          <w:tcPr>
            <w:tcW w:w="7087" w:type="dxa"/>
            <w:gridSpan w:val="4"/>
            <w:vAlign w:val="center"/>
          </w:tcPr>
          <w:p w14:paraId="69E33D37" w14:textId="2AB3C62E" w:rsidR="00AF7D8D" w:rsidRPr="0002343E" w:rsidRDefault="00AF7D8D" w:rsidP="00745896">
            <w:pPr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 w:rsidRPr="0002343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1</w:t>
            </w:r>
            <w:r w:rsidRPr="0002343E"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  <w:t>5</w:t>
            </w:r>
            <w:r w:rsidRPr="0002343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%</w:t>
            </w:r>
          </w:p>
        </w:tc>
      </w:tr>
      <w:tr w:rsidR="00AF7D8D" w:rsidRPr="00425BCE" w14:paraId="24B87B34" w14:textId="77777777" w:rsidTr="00745896">
        <w:trPr>
          <w:trHeight w:val="1137"/>
        </w:trPr>
        <w:tc>
          <w:tcPr>
            <w:tcW w:w="709" w:type="dxa"/>
            <w:vAlign w:val="center"/>
          </w:tcPr>
          <w:p w14:paraId="01BB7B89" w14:textId="77777777" w:rsidR="00AF7D8D" w:rsidRPr="00AF7D8D" w:rsidRDefault="00AF7D8D" w:rsidP="0074589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07EFA82" w14:textId="77777777" w:rsidR="00AF7D8D" w:rsidRPr="00AF7D8D" w:rsidRDefault="00AF7D8D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其他</w:t>
            </w:r>
          </w:p>
        </w:tc>
        <w:tc>
          <w:tcPr>
            <w:tcW w:w="4447" w:type="dxa"/>
            <w:gridSpan w:val="3"/>
            <w:vAlign w:val="center"/>
          </w:tcPr>
          <w:p w14:paraId="725D087F" w14:textId="77777777" w:rsidR="00AF7D8D" w:rsidRPr="00AF7D8D" w:rsidRDefault="00AF7D8D" w:rsidP="0074589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布展时展品设备吊装、加油、电瓶充电等现场发生的费用,由展商自行支付。</w:t>
            </w:r>
          </w:p>
        </w:tc>
        <w:tc>
          <w:tcPr>
            <w:tcW w:w="2640" w:type="dxa"/>
            <w:vAlign w:val="center"/>
          </w:tcPr>
          <w:p w14:paraId="761BD49D" w14:textId="4B3FDDAA" w:rsidR="00AF7D8D" w:rsidRPr="00AF7D8D" w:rsidRDefault="00AF7D8D" w:rsidP="00745896">
            <w:pPr>
              <w:spacing w:line="240" w:lineRule="exact"/>
              <w:rPr>
                <w:rFonts w:asciiTheme="minorEastAsia" w:eastAsiaTheme="minorEastAsia" w:hAnsiTheme="minorEastAsia"/>
                <w:spacing w:val="-14"/>
                <w:kern w:val="0"/>
                <w:sz w:val="24"/>
              </w:rPr>
            </w:pPr>
            <w:r w:rsidRPr="00AF7D8D">
              <w:rPr>
                <w:rFonts w:asciiTheme="minorEastAsia" w:eastAsiaTheme="minorEastAsia" w:hAnsiTheme="minorEastAsia"/>
                <w:kern w:val="0"/>
                <w:sz w:val="24"/>
              </w:rPr>
              <w:t>收费标准按照SIE 2024展会有关规定执行</w:t>
            </w:r>
          </w:p>
        </w:tc>
      </w:tr>
      <w:tr w:rsidR="00AF7D8D" w:rsidRPr="00280209" w14:paraId="743261F9" w14:textId="77777777" w:rsidTr="00745896">
        <w:trPr>
          <w:trHeight w:hRule="exact" w:val="2767"/>
        </w:trPr>
        <w:tc>
          <w:tcPr>
            <w:tcW w:w="9497" w:type="dxa"/>
            <w:gridSpan w:val="6"/>
          </w:tcPr>
          <w:p w14:paraId="545B5095" w14:textId="77777777" w:rsidR="00AF7D8D" w:rsidRPr="00DE2E07" w:rsidRDefault="00AF7D8D" w:rsidP="00745896">
            <w:pPr>
              <w:spacing w:line="320" w:lineRule="exact"/>
              <w:rPr>
                <w:rFonts w:asciiTheme="minorEastAsia" w:hAnsiTheme="minorEastAsia"/>
                <w:kern w:val="0"/>
                <w:sz w:val="24"/>
              </w:rPr>
            </w:pPr>
            <w:r w:rsidRPr="00DE2E07">
              <w:rPr>
                <w:rFonts w:asciiTheme="minorEastAsia" w:hAnsiTheme="minorEastAsia" w:hint="eastAsia"/>
                <w:kern w:val="0"/>
                <w:sz w:val="24"/>
              </w:rPr>
              <w:t>注意事项：</w:t>
            </w:r>
          </w:p>
          <w:p w14:paraId="4E2F4409" w14:textId="51317291" w:rsidR="00AF7D8D" w:rsidRPr="00DE2E07" w:rsidRDefault="00AF7D8D" w:rsidP="00745896">
            <w:pPr>
              <w:spacing w:line="320" w:lineRule="exact"/>
              <w:ind w:left="284" w:hanging="284"/>
              <w:rPr>
                <w:rFonts w:asciiTheme="minorEastAsia" w:hAnsiTheme="minorEastAsia"/>
                <w:kern w:val="0"/>
                <w:sz w:val="24"/>
              </w:rPr>
            </w:pPr>
            <w:r w:rsidRPr="00DE2E07">
              <w:rPr>
                <w:rFonts w:asciiTheme="minorEastAsia" w:hAnsiTheme="minorEastAsia" w:hint="eastAsia"/>
                <w:kern w:val="0"/>
                <w:sz w:val="24"/>
              </w:rPr>
              <w:t>1、参展申请表提交后需立即支付展位费</w:t>
            </w:r>
            <w:r w:rsidRPr="00DE2E07">
              <w:rPr>
                <w:rFonts w:asciiTheme="minorEastAsia" w:hAnsiTheme="minorEastAsia" w:cs="Arial"/>
                <w:sz w:val="24"/>
              </w:rPr>
              <w:t>用的</w:t>
            </w:r>
            <w:r w:rsidRPr="00DE2E07">
              <w:rPr>
                <w:rFonts w:asciiTheme="minorEastAsia" w:hAnsiTheme="minorEastAsia" w:cs="Arial" w:hint="eastAsia"/>
                <w:sz w:val="24"/>
              </w:rPr>
              <w:t>5</w:t>
            </w:r>
            <w:r w:rsidRPr="00DE2E07">
              <w:rPr>
                <w:rFonts w:asciiTheme="minorEastAsia" w:hAnsiTheme="minorEastAsia" w:cs="Arial"/>
                <w:sz w:val="24"/>
              </w:rPr>
              <w:t>0%作为定金</w:t>
            </w:r>
            <w:r w:rsidRPr="00DE2E07">
              <w:rPr>
                <w:rFonts w:asciiTheme="minorEastAsia" w:hAnsiTheme="minorEastAsia" w:hint="eastAsia"/>
                <w:kern w:val="0"/>
                <w:sz w:val="24"/>
              </w:rPr>
              <w:t>，</w:t>
            </w:r>
            <w:r w:rsidRPr="0002343E">
              <w:rPr>
                <w:rFonts w:asciiTheme="minorEastAsia" w:hAnsiTheme="minorEastAsia"/>
                <w:kern w:val="0"/>
                <w:sz w:val="24"/>
              </w:rPr>
              <w:t>2024年6月</w:t>
            </w:r>
            <w:r w:rsidRPr="0002343E">
              <w:rPr>
                <w:rFonts w:asciiTheme="minorEastAsia" w:hAnsiTheme="minorEastAsia" w:hint="eastAsia"/>
                <w:kern w:val="0"/>
                <w:sz w:val="24"/>
              </w:rPr>
              <w:t>1</w:t>
            </w:r>
            <w:r w:rsidRPr="0002343E">
              <w:rPr>
                <w:rFonts w:asciiTheme="minorEastAsia" w:hAnsiTheme="minorEastAsia"/>
                <w:kern w:val="0"/>
                <w:sz w:val="24"/>
              </w:rPr>
              <w:t>日</w:t>
            </w:r>
            <w:r w:rsidRPr="00DE2E07">
              <w:rPr>
                <w:rFonts w:asciiTheme="minorEastAsia" w:hAnsiTheme="minorEastAsia" w:hint="eastAsia"/>
                <w:kern w:val="0"/>
                <w:sz w:val="24"/>
              </w:rPr>
              <w:t xml:space="preserve">之后展位变化幅度超过50% </w:t>
            </w:r>
            <w:proofErr w:type="gramStart"/>
            <w:r w:rsidRPr="00DE2E07">
              <w:rPr>
                <w:rFonts w:asciiTheme="minorEastAsia" w:hAnsiTheme="minorEastAsia" w:hint="eastAsia"/>
                <w:kern w:val="0"/>
                <w:sz w:val="24"/>
              </w:rPr>
              <w:t>或退展的</w:t>
            </w:r>
            <w:proofErr w:type="gramEnd"/>
            <w:r w:rsidRPr="00DE2E07">
              <w:rPr>
                <w:rFonts w:asciiTheme="minorEastAsia" w:hAnsiTheme="minorEastAsia" w:hint="eastAsia"/>
                <w:kern w:val="0"/>
                <w:sz w:val="24"/>
              </w:rPr>
              <w:t>，展位费不予退还。</w:t>
            </w:r>
          </w:p>
          <w:p w14:paraId="0651FA4B" w14:textId="77777777" w:rsidR="00AF7D8D" w:rsidRPr="00DE2E07" w:rsidRDefault="00AF7D8D" w:rsidP="00745896">
            <w:pPr>
              <w:spacing w:line="320" w:lineRule="exact"/>
              <w:ind w:left="284" w:hanging="284"/>
              <w:rPr>
                <w:rFonts w:asciiTheme="minorEastAsia" w:hAnsiTheme="minorEastAsia"/>
                <w:kern w:val="0"/>
                <w:sz w:val="24"/>
              </w:rPr>
            </w:pPr>
            <w:r w:rsidRPr="00DE2E07">
              <w:rPr>
                <w:rFonts w:asciiTheme="minorEastAsia" w:hAnsiTheme="minorEastAsia" w:hint="eastAsia"/>
                <w:kern w:val="0"/>
                <w:sz w:val="24"/>
              </w:rPr>
              <w:t>2、展位费、标准展位装修费由组展单位统一对外签订合同，各参展单位同样享有合同中的权益和责任，组展单位不再与参展单位另行签约。</w:t>
            </w:r>
          </w:p>
          <w:p w14:paraId="11FBCDBD" w14:textId="03D3CE8C" w:rsidR="00AF7D8D" w:rsidRPr="00DE2E07" w:rsidRDefault="00AF7D8D" w:rsidP="00745896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DE2E07">
              <w:rPr>
                <w:rFonts w:asciiTheme="minorEastAsia" w:hAnsiTheme="minorEastAsia" w:hint="eastAsia"/>
                <w:kern w:val="0"/>
                <w:sz w:val="24"/>
              </w:rPr>
              <w:t>3、</w:t>
            </w:r>
            <w:r w:rsidRPr="0002343E">
              <w:rPr>
                <w:rFonts w:asciiTheme="minorEastAsia" w:hAnsiTheme="minorEastAsia" w:hint="eastAsia"/>
                <w:kern w:val="0"/>
                <w:sz w:val="24"/>
              </w:rPr>
              <w:t>展品运输由参展单位自行安排运输并与自选运输商签约。</w:t>
            </w:r>
          </w:p>
          <w:p w14:paraId="6F859F04" w14:textId="13CA4122" w:rsidR="00AF7D8D" w:rsidRPr="00AF7D8D" w:rsidRDefault="00AF7D8D" w:rsidP="0002343E">
            <w:pPr>
              <w:adjustRightInd w:val="0"/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E2E07">
              <w:rPr>
                <w:rFonts w:asciiTheme="majorEastAsia" w:eastAsiaTheme="majorEastAsia" w:hAnsiTheme="majorEastAsia" w:hint="eastAsia"/>
                <w:kern w:val="0"/>
                <w:sz w:val="24"/>
              </w:rPr>
              <w:t>4、</w:t>
            </w:r>
            <w:r w:rsidRPr="00DE2E07">
              <w:rPr>
                <w:rFonts w:asciiTheme="majorEastAsia" w:eastAsiaTheme="majorEastAsia" w:hAnsiTheme="majorEastAsia" w:cs="Arial" w:hint="eastAsia"/>
                <w:bCs/>
                <w:sz w:val="24"/>
              </w:rPr>
              <w:t>美元与人民币汇率以展商正式报名后的交费通知为准；展品运输、特殊展具租赁等费用另文通知</w:t>
            </w:r>
            <w:r w:rsidRPr="00DE2E07">
              <w:rPr>
                <w:rFonts w:asciiTheme="majorEastAsia" w:eastAsiaTheme="majorEastAsia" w:hAnsiTheme="majorEastAsia" w:cs="Arial" w:hint="eastAsia"/>
                <w:b/>
                <w:sz w:val="24"/>
              </w:rPr>
              <w:t>。</w:t>
            </w:r>
          </w:p>
        </w:tc>
      </w:tr>
    </w:tbl>
    <w:p w14:paraId="6BAA1E35" w14:textId="77777777" w:rsidR="00AF7D8D" w:rsidRDefault="00AF7D8D" w:rsidP="00C8618C">
      <w:pPr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</w:rPr>
      </w:pPr>
    </w:p>
    <w:sectPr w:rsidR="00AF7D8D" w:rsidSect="0002343E">
      <w:pgSz w:w="11906" w:h="16838"/>
      <w:pgMar w:top="1135" w:right="1133" w:bottom="109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A361F" w14:textId="77777777" w:rsidR="00523674" w:rsidRDefault="00523674" w:rsidP="0016130A">
      <w:r>
        <w:separator/>
      </w:r>
    </w:p>
  </w:endnote>
  <w:endnote w:type="continuationSeparator" w:id="0">
    <w:p w14:paraId="1063CA01" w14:textId="77777777" w:rsidR="00523674" w:rsidRDefault="00523674" w:rsidP="0016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C620" w14:textId="77777777" w:rsidR="00523674" w:rsidRDefault="00523674" w:rsidP="0016130A">
      <w:r>
        <w:separator/>
      </w:r>
    </w:p>
  </w:footnote>
  <w:footnote w:type="continuationSeparator" w:id="0">
    <w:p w14:paraId="5BDF3757" w14:textId="77777777" w:rsidR="00523674" w:rsidRDefault="00523674" w:rsidP="0016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6947B4"/>
    <w:multiLevelType w:val="multilevel"/>
    <w:tmpl w:val="266947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CC0806"/>
    <w:multiLevelType w:val="hybridMultilevel"/>
    <w:tmpl w:val="ED5ECBAA"/>
    <w:lvl w:ilvl="0" w:tplc="2F46014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457B12"/>
    <w:multiLevelType w:val="singleLevel"/>
    <w:tmpl w:val="00000000"/>
    <w:lvl w:ilvl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6A"/>
    <w:rsid w:val="0002343E"/>
    <w:rsid w:val="00044BAA"/>
    <w:rsid w:val="00056BD0"/>
    <w:rsid w:val="00072007"/>
    <w:rsid w:val="000732A3"/>
    <w:rsid w:val="00077C55"/>
    <w:rsid w:val="0008463B"/>
    <w:rsid w:val="00087B86"/>
    <w:rsid w:val="00091EF7"/>
    <w:rsid w:val="000A0FBA"/>
    <w:rsid w:val="000A7256"/>
    <w:rsid w:val="000A74A9"/>
    <w:rsid w:val="000C1608"/>
    <w:rsid w:val="000D36E5"/>
    <w:rsid w:val="000D75A7"/>
    <w:rsid w:val="000E0DA2"/>
    <w:rsid w:val="0010542A"/>
    <w:rsid w:val="001074E4"/>
    <w:rsid w:val="00110159"/>
    <w:rsid w:val="00115116"/>
    <w:rsid w:val="00133C98"/>
    <w:rsid w:val="00135A13"/>
    <w:rsid w:val="0014054C"/>
    <w:rsid w:val="001535F6"/>
    <w:rsid w:val="0016130A"/>
    <w:rsid w:val="00162D73"/>
    <w:rsid w:val="00166E5F"/>
    <w:rsid w:val="00172A27"/>
    <w:rsid w:val="00177816"/>
    <w:rsid w:val="001853FD"/>
    <w:rsid w:val="001B44DC"/>
    <w:rsid w:val="001B54A6"/>
    <w:rsid w:val="001E5B00"/>
    <w:rsid w:val="00201383"/>
    <w:rsid w:val="00216B31"/>
    <w:rsid w:val="0023653B"/>
    <w:rsid w:val="0027409F"/>
    <w:rsid w:val="0029506E"/>
    <w:rsid w:val="002B15C0"/>
    <w:rsid w:val="002C2DCC"/>
    <w:rsid w:val="002E0938"/>
    <w:rsid w:val="002F178E"/>
    <w:rsid w:val="002F4DE2"/>
    <w:rsid w:val="002F5309"/>
    <w:rsid w:val="002F7A19"/>
    <w:rsid w:val="0031451D"/>
    <w:rsid w:val="00317788"/>
    <w:rsid w:val="00331D25"/>
    <w:rsid w:val="003421B6"/>
    <w:rsid w:val="00346C91"/>
    <w:rsid w:val="00360B53"/>
    <w:rsid w:val="00373D16"/>
    <w:rsid w:val="0037653A"/>
    <w:rsid w:val="00381460"/>
    <w:rsid w:val="0038389F"/>
    <w:rsid w:val="003A0ED2"/>
    <w:rsid w:val="003A561A"/>
    <w:rsid w:val="003C7E8B"/>
    <w:rsid w:val="003D1413"/>
    <w:rsid w:val="003E0BA0"/>
    <w:rsid w:val="003F10EB"/>
    <w:rsid w:val="003F75C5"/>
    <w:rsid w:val="00414CA9"/>
    <w:rsid w:val="004229B9"/>
    <w:rsid w:val="004329AE"/>
    <w:rsid w:val="0044015D"/>
    <w:rsid w:val="00453BDC"/>
    <w:rsid w:val="00454C33"/>
    <w:rsid w:val="004622F1"/>
    <w:rsid w:val="0047433C"/>
    <w:rsid w:val="00474369"/>
    <w:rsid w:val="00481012"/>
    <w:rsid w:val="00487CB6"/>
    <w:rsid w:val="004914EF"/>
    <w:rsid w:val="004975C1"/>
    <w:rsid w:val="004A1D51"/>
    <w:rsid w:val="004A41F9"/>
    <w:rsid w:val="004B7588"/>
    <w:rsid w:val="004C1347"/>
    <w:rsid w:val="004C7CB4"/>
    <w:rsid w:val="004D3CA3"/>
    <w:rsid w:val="004D6878"/>
    <w:rsid w:val="004E0BD5"/>
    <w:rsid w:val="004E3970"/>
    <w:rsid w:val="004F7983"/>
    <w:rsid w:val="004F7D09"/>
    <w:rsid w:val="00503E6C"/>
    <w:rsid w:val="00505B13"/>
    <w:rsid w:val="00523674"/>
    <w:rsid w:val="00526F4D"/>
    <w:rsid w:val="00540434"/>
    <w:rsid w:val="00542827"/>
    <w:rsid w:val="00564449"/>
    <w:rsid w:val="0056525A"/>
    <w:rsid w:val="00565493"/>
    <w:rsid w:val="00571203"/>
    <w:rsid w:val="00576FB4"/>
    <w:rsid w:val="005A0BBD"/>
    <w:rsid w:val="005A22E3"/>
    <w:rsid w:val="005C4A51"/>
    <w:rsid w:val="005D0A3C"/>
    <w:rsid w:val="005D5EC7"/>
    <w:rsid w:val="005E3C81"/>
    <w:rsid w:val="005E7CD7"/>
    <w:rsid w:val="00610F6E"/>
    <w:rsid w:val="00625368"/>
    <w:rsid w:val="00631550"/>
    <w:rsid w:val="0064352E"/>
    <w:rsid w:val="0065496C"/>
    <w:rsid w:val="006569CA"/>
    <w:rsid w:val="00657F95"/>
    <w:rsid w:val="00663C0A"/>
    <w:rsid w:val="00663D84"/>
    <w:rsid w:val="0069183D"/>
    <w:rsid w:val="006B2518"/>
    <w:rsid w:val="006C3696"/>
    <w:rsid w:val="006E6441"/>
    <w:rsid w:val="006E77CD"/>
    <w:rsid w:val="006F3F58"/>
    <w:rsid w:val="00732F22"/>
    <w:rsid w:val="00735F6A"/>
    <w:rsid w:val="00741C5B"/>
    <w:rsid w:val="00745896"/>
    <w:rsid w:val="007516CD"/>
    <w:rsid w:val="00792979"/>
    <w:rsid w:val="007A5238"/>
    <w:rsid w:val="007D68C2"/>
    <w:rsid w:val="007E42B3"/>
    <w:rsid w:val="007E4D38"/>
    <w:rsid w:val="007E7C52"/>
    <w:rsid w:val="007F23D2"/>
    <w:rsid w:val="007F334A"/>
    <w:rsid w:val="0082057B"/>
    <w:rsid w:val="008207AA"/>
    <w:rsid w:val="0084187D"/>
    <w:rsid w:val="008555CA"/>
    <w:rsid w:val="00884C38"/>
    <w:rsid w:val="00885800"/>
    <w:rsid w:val="008A6743"/>
    <w:rsid w:val="008C5DF7"/>
    <w:rsid w:val="008E1DFE"/>
    <w:rsid w:val="008F22E9"/>
    <w:rsid w:val="008F6FED"/>
    <w:rsid w:val="00902380"/>
    <w:rsid w:val="009039BB"/>
    <w:rsid w:val="009525F2"/>
    <w:rsid w:val="009A2750"/>
    <w:rsid w:val="009B140D"/>
    <w:rsid w:val="009B38FC"/>
    <w:rsid w:val="009B5739"/>
    <w:rsid w:val="009C3BEE"/>
    <w:rsid w:val="009E039E"/>
    <w:rsid w:val="009F552B"/>
    <w:rsid w:val="009F7B2D"/>
    <w:rsid w:val="00A0236C"/>
    <w:rsid w:val="00A04C90"/>
    <w:rsid w:val="00A31CB6"/>
    <w:rsid w:val="00A532BB"/>
    <w:rsid w:val="00A578D0"/>
    <w:rsid w:val="00A6243B"/>
    <w:rsid w:val="00A72192"/>
    <w:rsid w:val="00A722D6"/>
    <w:rsid w:val="00A92BDE"/>
    <w:rsid w:val="00AA21B3"/>
    <w:rsid w:val="00AA2FC1"/>
    <w:rsid w:val="00AA5FF5"/>
    <w:rsid w:val="00AA677E"/>
    <w:rsid w:val="00AB1996"/>
    <w:rsid w:val="00AC27A6"/>
    <w:rsid w:val="00AC6299"/>
    <w:rsid w:val="00AC71E6"/>
    <w:rsid w:val="00AD1002"/>
    <w:rsid w:val="00AD24E9"/>
    <w:rsid w:val="00AD2791"/>
    <w:rsid w:val="00AD2D08"/>
    <w:rsid w:val="00AE2B2D"/>
    <w:rsid w:val="00AF02F1"/>
    <w:rsid w:val="00AF474D"/>
    <w:rsid w:val="00AF7D8D"/>
    <w:rsid w:val="00B3760A"/>
    <w:rsid w:val="00B52F38"/>
    <w:rsid w:val="00B71102"/>
    <w:rsid w:val="00B72BD3"/>
    <w:rsid w:val="00B7432E"/>
    <w:rsid w:val="00B802BC"/>
    <w:rsid w:val="00B83470"/>
    <w:rsid w:val="00B9618F"/>
    <w:rsid w:val="00B9640A"/>
    <w:rsid w:val="00BB2C04"/>
    <w:rsid w:val="00BD5AE1"/>
    <w:rsid w:val="00BE3C94"/>
    <w:rsid w:val="00BE5F8E"/>
    <w:rsid w:val="00C138E0"/>
    <w:rsid w:val="00C2031F"/>
    <w:rsid w:val="00C21EB9"/>
    <w:rsid w:val="00C22581"/>
    <w:rsid w:val="00C23C86"/>
    <w:rsid w:val="00C256C8"/>
    <w:rsid w:val="00C37745"/>
    <w:rsid w:val="00C556A1"/>
    <w:rsid w:val="00C56F39"/>
    <w:rsid w:val="00C65758"/>
    <w:rsid w:val="00C83291"/>
    <w:rsid w:val="00C8618C"/>
    <w:rsid w:val="00CA3FDF"/>
    <w:rsid w:val="00CC1D63"/>
    <w:rsid w:val="00CD0942"/>
    <w:rsid w:val="00CD1533"/>
    <w:rsid w:val="00CE6D4C"/>
    <w:rsid w:val="00D02A2F"/>
    <w:rsid w:val="00D32214"/>
    <w:rsid w:val="00D405D7"/>
    <w:rsid w:val="00D54337"/>
    <w:rsid w:val="00D54900"/>
    <w:rsid w:val="00D7161F"/>
    <w:rsid w:val="00D740DC"/>
    <w:rsid w:val="00D83534"/>
    <w:rsid w:val="00D93365"/>
    <w:rsid w:val="00DA1CAE"/>
    <w:rsid w:val="00DA42D6"/>
    <w:rsid w:val="00DC16BF"/>
    <w:rsid w:val="00DC6BB2"/>
    <w:rsid w:val="00DE2E07"/>
    <w:rsid w:val="00DE3D97"/>
    <w:rsid w:val="00DE7E27"/>
    <w:rsid w:val="00DF65C7"/>
    <w:rsid w:val="00E04FB0"/>
    <w:rsid w:val="00E0533F"/>
    <w:rsid w:val="00E12981"/>
    <w:rsid w:val="00E25866"/>
    <w:rsid w:val="00E36F41"/>
    <w:rsid w:val="00E9402E"/>
    <w:rsid w:val="00E94274"/>
    <w:rsid w:val="00E95885"/>
    <w:rsid w:val="00EB6B88"/>
    <w:rsid w:val="00EC0D0A"/>
    <w:rsid w:val="00ED4909"/>
    <w:rsid w:val="00ED7A0A"/>
    <w:rsid w:val="00EE24F4"/>
    <w:rsid w:val="00EF6DB1"/>
    <w:rsid w:val="00F02AF5"/>
    <w:rsid w:val="00F35FB4"/>
    <w:rsid w:val="00F377B1"/>
    <w:rsid w:val="00F42C8F"/>
    <w:rsid w:val="00F52680"/>
    <w:rsid w:val="00F73DA2"/>
    <w:rsid w:val="00F85D0B"/>
    <w:rsid w:val="00F877E4"/>
    <w:rsid w:val="00F94A03"/>
    <w:rsid w:val="00FA19EA"/>
    <w:rsid w:val="00FB1AE3"/>
    <w:rsid w:val="00FB2E73"/>
    <w:rsid w:val="00FE7154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88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05B13"/>
    <w:rPr>
      <w:kern w:val="2"/>
      <w:sz w:val="18"/>
      <w:szCs w:val="18"/>
    </w:rPr>
  </w:style>
  <w:style w:type="character" w:customStyle="1" w:styleId="Char0">
    <w:name w:val="页眉 Char"/>
    <w:link w:val="a4"/>
    <w:rsid w:val="00505B13"/>
    <w:rPr>
      <w:kern w:val="2"/>
      <w:sz w:val="18"/>
      <w:szCs w:val="18"/>
    </w:rPr>
  </w:style>
  <w:style w:type="character" w:styleId="a5">
    <w:name w:val="FollowedHyperlink"/>
    <w:rsid w:val="00505B13"/>
    <w:rPr>
      <w:color w:val="800080"/>
      <w:u w:val="single"/>
    </w:rPr>
  </w:style>
  <w:style w:type="character" w:styleId="a6">
    <w:name w:val="Hyperlink"/>
    <w:rsid w:val="00505B13"/>
    <w:rPr>
      <w:color w:val="0000FF"/>
      <w:u w:val="single"/>
    </w:rPr>
  </w:style>
  <w:style w:type="paragraph" w:styleId="a4">
    <w:name w:val="header"/>
    <w:basedOn w:val="a"/>
    <w:link w:val="Char0"/>
    <w:rsid w:val="0050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0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505B13"/>
    <w:rPr>
      <w:sz w:val="18"/>
      <w:szCs w:val="18"/>
    </w:rPr>
  </w:style>
  <w:style w:type="paragraph" w:styleId="a8">
    <w:name w:val="Revision"/>
    <w:hidden/>
    <w:uiPriority w:val="99"/>
    <w:semiHidden/>
    <w:rsid w:val="003421B6"/>
    <w:rPr>
      <w:kern w:val="2"/>
      <w:sz w:val="21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7E42B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E42B3"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DF65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05B13"/>
    <w:rPr>
      <w:kern w:val="2"/>
      <w:sz w:val="18"/>
      <w:szCs w:val="18"/>
    </w:rPr>
  </w:style>
  <w:style w:type="character" w:customStyle="1" w:styleId="Char0">
    <w:name w:val="页眉 Char"/>
    <w:link w:val="a4"/>
    <w:rsid w:val="00505B13"/>
    <w:rPr>
      <w:kern w:val="2"/>
      <w:sz w:val="18"/>
      <w:szCs w:val="18"/>
    </w:rPr>
  </w:style>
  <w:style w:type="character" w:styleId="a5">
    <w:name w:val="FollowedHyperlink"/>
    <w:rsid w:val="00505B13"/>
    <w:rPr>
      <w:color w:val="800080"/>
      <w:u w:val="single"/>
    </w:rPr>
  </w:style>
  <w:style w:type="character" w:styleId="a6">
    <w:name w:val="Hyperlink"/>
    <w:rsid w:val="00505B13"/>
    <w:rPr>
      <w:color w:val="0000FF"/>
      <w:u w:val="single"/>
    </w:rPr>
  </w:style>
  <w:style w:type="paragraph" w:styleId="a4">
    <w:name w:val="header"/>
    <w:basedOn w:val="a"/>
    <w:link w:val="Char0"/>
    <w:rsid w:val="00505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05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505B13"/>
    <w:rPr>
      <w:sz w:val="18"/>
      <w:szCs w:val="18"/>
    </w:rPr>
  </w:style>
  <w:style w:type="paragraph" w:styleId="a8">
    <w:name w:val="Revision"/>
    <w:hidden/>
    <w:uiPriority w:val="99"/>
    <w:semiHidden/>
    <w:rsid w:val="003421B6"/>
    <w:rPr>
      <w:kern w:val="2"/>
      <w:sz w:val="21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7E42B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E42B3"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DF65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531</CharactersWithSpaces>
  <SharedDoc>false</SharedDoc>
  <HLinks>
    <vt:vector size="18" baseType="variant">
      <vt:variant>
        <vt:i4>7929892</vt:i4>
      </vt:variant>
      <vt:variant>
        <vt:i4>6</vt:i4>
      </vt:variant>
      <vt:variant>
        <vt:i4>0</vt:i4>
      </vt:variant>
      <vt:variant>
        <vt:i4>5</vt:i4>
      </vt:variant>
      <vt:variant>
        <vt:lpwstr>http://www.intermat.fr/</vt:lpwstr>
      </vt:variant>
      <vt:variant>
        <vt:lpwstr/>
      </vt:variant>
      <vt:variant>
        <vt:i4>4325391</vt:i4>
      </vt:variant>
      <vt:variant>
        <vt:i4>3</vt:i4>
      </vt:variant>
      <vt:variant>
        <vt:i4>0</vt:i4>
      </vt:variant>
      <vt:variant>
        <vt:i4>5</vt:i4>
      </vt:variant>
      <vt:variant>
        <vt:lpwstr>http://www.cncma.org/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http://www.jzjx.org.cn/search/searchall.asp?keywords=%B9%A4%B3%CC%BB%FA%D0%B5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中国工程机械工业协会</dc:title>
  <dc:creator>User</dc:creator>
  <cp:lastModifiedBy>NINGMEI</cp:lastModifiedBy>
  <cp:revision>2</cp:revision>
  <cp:lastPrinted>2017-10-24T02:17:00Z</cp:lastPrinted>
  <dcterms:created xsi:type="dcterms:W3CDTF">2024-02-23T06:32:00Z</dcterms:created>
  <dcterms:modified xsi:type="dcterms:W3CDTF">2024-02-23T06:32:00Z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