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63210">
      <w:pPr>
        <w:spacing w:line="440" w:lineRule="exact"/>
        <w:ind w:right="280"/>
        <w:jc w:val="left"/>
        <w:rPr>
          <w:rFonts w:ascii="仿宋" w:hAnsi="仿宋" w:eastAsia="仿宋" w:cs="Arial"/>
          <w:b/>
          <w:sz w:val="30"/>
          <w:szCs w:val="30"/>
        </w:rPr>
      </w:pPr>
      <w:bookmarkStart w:id="1" w:name="_GoBack"/>
      <w:bookmarkStart w:id="0" w:name="_Hlk130979036"/>
      <w:r>
        <w:rPr>
          <w:rFonts w:hint="eastAsia" w:ascii="仿宋" w:hAnsi="仿宋" w:eastAsia="仿宋" w:cs="Arial"/>
          <w:b/>
          <w:sz w:val="30"/>
          <w:szCs w:val="30"/>
        </w:rPr>
        <w:t>附件</w:t>
      </w:r>
      <w:r>
        <w:rPr>
          <w:rFonts w:hint="eastAsia" w:ascii="仿宋" w:hAnsi="仿宋" w:eastAsia="仿宋" w:cs="Arial"/>
          <w:b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Arial"/>
          <w:b/>
          <w:sz w:val="30"/>
          <w:szCs w:val="30"/>
        </w:rPr>
        <w:t>：参展</w:t>
      </w:r>
      <w:r>
        <w:rPr>
          <w:rFonts w:ascii="仿宋" w:hAnsi="仿宋" w:eastAsia="仿宋" w:cs="Arial"/>
          <w:b/>
          <w:sz w:val="30"/>
          <w:szCs w:val="30"/>
        </w:rPr>
        <w:t>费用预算表及其说明</w:t>
      </w:r>
    </w:p>
    <w:p w14:paraId="5E313D94">
      <w:pPr>
        <w:spacing w:line="360" w:lineRule="exact"/>
        <w:jc w:val="center"/>
        <w:rPr>
          <w:rFonts w:ascii="仿宋" w:hAnsi="仿宋" w:eastAsia="仿宋" w:cs="Arial"/>
          <w:color w:val="000000"/>
          <w:sz w:val="32"/>
          <w:szCs w:val="32"/>
        </w:rPr>
      </w:pP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037"/>
        <w:gridCol w:w="1515"/>
        <w:gridCol w:w="1381"/>
        <w:gridCol w:w="1559"/>
        <w:gridCol w:w="1559"/>
      </w:tblGrid>
      <w:tr w14:paraId="4AFA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214" w:type="dxa"/>
            <w:gridSpan w:val="6"/>
            <w:vAlign w:val="center"/>
          </w:tcPr>
          <w:p w14:paraId="07912F9D">
            <w:pPr>
              <w:spacing w:line="400" w:lineRule="exact"/>
              <w:jc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  <w:t>收  费  标  准</w:t>
            </w:r>
          </w:p>
        </w:tc>
      </w:tr>
      <w:tr w14:paraId="7989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3200" w:type="dxa"/>
            <w:gridSpan w:val="2"/>
            <w:shd w:val="clear" w:color="auto" w:fill="auto"/>
            <w:vAlign w:val="center"/>
          </w:tcPr>
          <w:p w14:paraId="46E7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 w14:paraId="0158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一面开口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6D97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二面开口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843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三面开口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55FE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四面开口</w:t>
            </w:r>
          </w:p>
        </w:tc>
      </w:tr>
      <w:tr w14:paraId="322E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3200" w:type="dxa"/>
            <w:gridSpan w:val="2"/>
            <w:shd w:val="clear" w:color="auto" w:fill="auto"/>
            <w:vAlign w:val="center"/>
          </w:tcPr>
          <w:p w14:paraId="64A5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标准展位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 w14:paraId="3848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6708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96F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680B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</w:tr>
      <w:tr w14:paraId="1A32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019D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室内</w:t>
            </w:r>
          </w:p>
          <w:p w14:paraId="0DE6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光地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A9D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24-400㎡面积</w:t>
            </w:r>
          </w:p>
          <w:p w14:paraId="446F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4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区间计价为：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 w14:paraId="2D9E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594F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647E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03D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  <w:u w:val="singl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</w:tr>
      <w:tr w14:paraId="51A6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163" w:type="dxa"/>
            <w:vMerge w:val="continue"/>
            <w:shd w:val="clear" w:color="auto" w:fill="auto"/>
            <w:vAlign w:val="center"/>
          </w:tcPr>
          <w:p w14:paraId="0F8CDDFA">
            <w:pPr>
              <w:jc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17AC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4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401㎡以上的面积计价为：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 w14:paraId="457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60BC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57B6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6EB8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</w:tr>
      <w:tr w14:paraId="28B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20F6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室外</w:t>
            </w:r>
          </w:p>
          <w:p w14:paraId="7C1F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光地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1D86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50-800㎡面积</w:t>
            </w:r>
          </w:p>
          <w:p w14:paraId="05DD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4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区间内计价为：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 w14:paraId="51B5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180.8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7386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206.6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3B7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215.6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79A7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220.4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</w:tr>
      <w:tr w14:paraId="3ED3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163" w:type="dxa"/>
            <w:vMerge w:val="continue"/>
            <w:shd w:val="clear" w:color="auto" w:fill="auto"/>
            <w:vAlign w:val="center"/>
          </w:tcPr>
          <w:p w14:paraId="3242BF12">
            <w:pPr>
              <w:jc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14:paraId="09E8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4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801㎡以上的部分面积计价为：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 w14:paraId="1244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145.8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381" w:type="dxa"/>
            <w:tcBorders>
              <w:bottom w:val="single" w:color="auto" w:sz="4" w:space="0"/>
            </w:tcBorders>
            <w:vAlign w:val="center"/>
          </w:tcPr>
          <w:p w14:paraId="4178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171.6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AAA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180.6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5C5B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185.4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1"/>
                <w:szCs w:val="21"/>
              </w:rPr>
              <w:t>/㎡</w:t>
            </w:r>
          </w:p>
        </w:tc>
      </w:tr>
      <w:tr w14:paraId="16B1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3200" w:type="dxa"/>
            <w:gridSpan w:val="2"/>
            <w:tcBorders>
              <w:bottom w:val="single" w:color="auto" w:sz="4" w:space="0"/>
            </w:tcBorders>
            <w:vAlign w:val="center"/>
          </w:tcPr>
          <w:p w14:paraId="6BC7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注册费</w:t>
            </w:r>
          </w:p>
        </w:tc>
        <w:tc>
          <w:tcPr>
            <w:tcW w:w="2896" w:type="dxa"/>
            <w:gridSpan w:val="2"/>
            <w:tcBorders>
              <w:bottom w:val="single" w:color="auto" w:sz="4" w:space="0"/>
            </w:tcBorders>
            <w:vAlign w:val="top"/>
          </w:tcPr>
          <w:p w14:paraId="7722B8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按参展单位收取</w:t>
            </w:r>
          </w:p>
        </w:tc>
        <w:tc>
          <w:tcPr>
            <w:tcW w:w="3118" w:type="dxa"/>
            <w:gridSpan w:val="2"/>
            <w:tcBorders>
              <w:bottom w:val="single" w:color="auto" w:sz="4" w:space="0"/>
            </w:tcBorders>
            <w:vAlign w:val="top"/>
          </w:tcPr>
          <w:p w14:paraId="0D22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1350欧元/单位</w:t>
            </w:r>
          </w:p>
        </w:tc>
      </w:tr>
      <w:tr w14:paraId="046E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</w:trPr>
        <w:tc>
          <w:tcPr>
            <w:tcW w:w="9214" w:type="dxa"/>
            <w:gridSpan w:val="6"/>
            <w:tcBorders>
              <w:bottom w:val="single" w:color="auto" w:sz="4" w:space="0"/>
            </w:tcBorders>
          </w:tcPr>
          <w:p w14:paraId="777476BB">
            <w:pPr>
              <w:spacing w:line="400" w:lineRule="exact"/>
              <w:rPr>
                <w:rFonts w:hint="eastAsia" w:ascii="Arial" w:hAnsi="Arial" w:eastAsia="仿宋" w:cs="Arial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0000FF"/>
                <w:sz w:val="24"/>
              </w:rPr>
              <w:t>1、</w:t>
            </w:r>
            <w:r>
              <w:rPr>
                <w:rFonts w:hint="eastAsia" w:ascii="Arial" w:hAnsi="Arial" w:eastAsia="仿宋" w:cs="Arial"/>
                <w:color w:val="0000FF"/>
                <w:sz w:val="24"/>
                <w:lang w:val="en-US" w:eastAsia="zh-CN"/>
              </w:rPr>
              <w:t>如2026年6月1日前报名并支付预定金，在以上价格的基础上可享标摊及室内光地早鸟优惠5.5</w:t>
            </w:r>
            <w:r>
              <w:rPr>
                <w:rFonts w:hint="default" w:ascii="Arial" w:hAnsi="Arial" w:eastAsia="仿宋" w:cs="Arial"/>
                <w:color w:val="0000FF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0000FF"/>
                <w:sz w:val="21"/>
                <w:szCs w:val="21"/>
              </w:rPr>
              <w:t>/㎡</w:t>
            </w:r>
            <w:r>
              <w:rPr>
                <w:rFonts w:hint="eastAsia" w:ascii="Arial" w:hAnsi="Arial" w:eastAsia="仿宋" w:cs="Arial"/>
                <w:color w:val="0000FF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仿宋" w:cs="Arial"/>
                <w:color w:val="0000FF"/>
                <w:sz w:val="24"/>
                <w:lang w:val="en-US" w:eastAsia="zh-CN"/>
              </w:rPr>
              <w:t>室外光地早鸟优惠5</w:t>
            </w:r>
            <w:r>
              <w:rPr>
                <w:rFonts w:hint="default" w:ascii="Arial" w:hAnsi="Arial" w:eastAsia="仿宋" w:cs="Arial"/>
                <w:color w:val="0000FF"/>
                <w:sz w:val="21"/>
                <w:szCs w:val="21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0000FF"/>
                <w:sz w:val="21"/>
                <w:szCs w:val="21"/>
              </w:rPr>
              <w:t>/㎡</w:t>
            </w:r>
            <w:r>
              <w:rPr>
                <w:rFonts w:hint="eastAsia" w:ascii="Arial" w:hAnsi="Arial" w:eastAsia="仿宋" w:cs="Arial"/>
                <w:color w:val="0000FF"/>
                <w:sz w:val="21"/>
                <w:szCs w:val="21"/>
                <w:lang w:eastAsia="zh-CN"/>
              </w:rPr>
              <w:t>。</w:t>
            </w:r>
          </w:p>
          <w:p w14:paraId="2DF3F202">
            <w:pPr>
              <w:spacing w:line="400" w:lineRule="exact"/>
              <w:rPr>
                <w:rFonts w:hint="default" w:ascii="Arial" w:hAnsi="Arial" w:eastAsia="仿宋" w:cs="Arial"/>
                <w:color w:val="auto"/>
                <w:sz w:val="24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</w:rPr>
              <w:t>2、参展人员费用将根据具体行程安排另文通知；</w:t>
            </w:r>
          </w:p>
          <w:p w14:paraId="4913184D">
            <w:pPr>
              <w:spacing w:line="400" w:lineRule="exact"/>
              <w:rPr>
                <w:rFonts w:hint="default" w:ascii="Arial" w:hAnsi="Arial" w:eastAsia="仿宋" w:cs="Arial"/>
                <w:color w:val="auto"/>
                <w:sz w:val="24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</w:rPr>
              <w:t>3、展品运输费、海关手续费、展品关税、特殊道具费、进馆费等将另文通知；</w:t>
            </w:r>
          </w:p>
          <w:p w14:paraId="2C05BA67">
            <w:pPr>
              <w:spacing w:line="400" w:lineRule="exact"/>
              <w:rPr>
                <w:rFonts w:hint="default" w:ascii="Arial" w:hAnsi="Arial" w:eastAsia="仿宋" w:cs="Arial"/>
                <w:color w:val="auto"/>
                <w:sz w:val="24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default" w:ascii="Arial" w:hAnsi="Arial" w:eastAsia="仿宋" w:cs="Arial"/>
                <w:color w:val="auto"/>
                <w:sz w:val="24"/>
              </w:rPr>
              <w:t>参展单位可根据需要聘请展台翻译，所需费用将另文通知；</w:t>
            </w:r>
          </w:p>
          <w:p w14:paraId="2EA00210">
            <w:pPr>
              <w:spacing w:line="400" w:lineRule="exact"/>
              <w:rPr>
                <w:rFonts w:hint="default" w:ascii="Arial" w:hAnsi="Arial" w:eastAsia="仿宋" w:cs="Arial"/>
                <w:color w:val="auto"/>
                <w:sz w:val="24"/>
              </w:rPr>
            </w:pPr>
            <w:r>
              <w:rPr>
                <w:rFonts w:hint="eastAsia" w:ascii="Arial" w:hAnsi="Arial" w:eastAsia="仿宋" w:cs="Arial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Arial" w:hAnsi="Arial" w:eastAsia="仿宋" w:cs="Arial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default" w:ascii="Arial" w:hAnsi="Arial" w:eastAsia="仿宋" w:cs="Arial"/>
                <w:color w:val="auto"/>
                <w:sz w:val="24"/>
              </w:rPr>
              <w:t>欧元与人民币的汇率</w:t>
            </w:r>
            <w:r>
              <w:rPr>
                <w:rFonts w:hint="default" w:ascii="Arial" w:hAnsi="Arial" w:eastAsia="仿宋" w:cs="Arial"/>
                <w:color w:val="auto"/>
                <w:sz w:val="24"/>
                <w:lang w:val="en-US" w:eastAsia="zh-CN"/>
              </w:rPr>
              <w:t xml:space="preserve">暂按8.3计收，如汇率浮动超过8.3将以更新后的汇率向上约整到小数点后一位后计收。 </w:t>
            </w:r>
          </w:p>
        </w:tc>
      </w:tr>
      <w:tr w14:paraId="310D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214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DFFCBFF">
            <w:pPr>
              <w:spacing w:line="400" w:lineRule="exact"/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说明：</w:t>
            </w:r>
          </w:p>
          <w:p w14:paraId="14CBB262">
            <w:pPr>
              <w:spacing w:line="400" w:lineRule="exact"/>
              <w:rPr>
                <w:rFonts w:hint="default" w:ascii="Arial" w:hAnsi="Arial" w:eastAsia="仿宋" w:cs="Arial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1、室内标准展位最小9㎡起定；室内光地最小24㎡起定；室外光地最小50㎡起定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lang w:eastAsia="zh-CN"/>
              </w:rPr>
              <w:t>。</w:t>
            </w:r>
          </w:p>
          <w:p w14:paraId="716AE6A6">
            <w:pPr>
              <w:spacing w:line="400" w:lineRule="exact"/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2、展位费按阶梯方式计算（室内、外大面积展位费均按照阶梯计算，方法相同）</w:t>
            </w:r>
          </w:p>
          <w:p w14:paraId="245CF88C">
            <w:pPr>
              <w:spacing w:line="400" w:lineRule="exact"/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例1：一面开口9㎡标准展位费=467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×9㎡+1350€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ab/>
            </w:r>
          </w:p>
          <w:p w14:paraId="4E58383F">
            <w:pPr>
              <w:spacing w:line="400" w:lineRule="exact"/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例2：两面开口24㎡室内光地展位费=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×24㎡+1350€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ab/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ab/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ab/>
            </w:r>
          </w:p>
          <w:p w14:paraId="089F6D5D">
            <w:pPr>
              <w:spacing w:line="400" w:lineRule="exact"/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例3：三面开口500㎡室内光地展位费=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×400㎡+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shd w:val="clear" w:color="auto" w:fill="FFFFFF"/>
              </w:rPr>
              <w:t>€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×100㎡+1350€</w:t>
            </w:r>
          </w:p>
          <w:p w14:paraId="0B126A9F">
            <w:pPr>
              <w:spacing w:line="400" w:lineRule="exact"/>
              <w:rPr>
                <w:rFonts w:hint="default" w:ascii="Arial" w:hAnsi="Arial" w:eastAsia="仿宋" w:cs="Arial"/>
                <w:b/>
                <w:color w:val="auto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  <w:t>3、上述报价均包括：清洁费、保险费、光地租赁、展览会统一的广告宣传、会刊登录、布展证、规定数量的参展证等费用。</w:t>
            </w:r>
            <w:r>
              <w:rPr>
                <w:rFonts w:hint="default" w:ascii="Arial" w:hAnsi="Arial" w:eastAsia="仿宋" w:cs="Arial"/>
                <w:color w:val="auto"/>
                <w:sz w:val="24"/>
              </w:rPr>
              <w:tab/>
            </w:r>
            <w:r>
              <w:rPr>
                <w:rFonts w:hint="default" w:ascii="Arial" w:hAnsi="Arial" w:eastAsia="仿宋" w:cs="Arial"/>
                <w:color w:val="auto"/>
                <w:sz w:val="24"/>
              </w:rPr>
              <w:tab/>
            </w:r>
            <w:r>
              <w:rPr>
                <w:rFonts w:hint="default" w:ascii="Arial" w:hAnsi="Arial" w:eastAsia="仿宋" w:cs="Arial"/>
                <w:color w:val="auto"/>
                <w:sz w:val="24"/>
              </w:rPr>
              <w:tab/>
            </w:r>
            <w:r>
              <w:rPr>
                <w:rFonts w:hint="default" w:ascii="Arial" w:hAnsi="Arial" w:eastAsia="仿宋" w:cs="Arial"/>
                <w:color w:val="auto"/>
                <w:sz w:val="24"/>
              </w:rPr>
              <w:tab/>
            </w:r>
            <w:r>
              <w:rPr>
                <w:rFonts w:hint="default" w:ascii="Arial" w:hAnsi="Arial" w:eastAsia="仿宋" w:cs="Arial"/>
                <w:color w:val="auto"/>
                <w:sz w:val="24"/>
              </w:rPr>
              <w:tab/>
            </w:r>
            <w:r>
              <w:rPr>
                <w:rFonts w:hint="default" w:ascii="Arial" w:hAnsi="Arial" w:eastAsia="仿宋" w:cs="Arial"/>
                <w:color w:val="auto"/>
                <w:sz w:val="24"/>
              </w:rPr>
              <w:tab/>
            </w:r>
            <w:r>
              <w:rPr>
                <w:rFonts w:hint="default" w:ascii="Arial" w:hAnsi="Arial" w:eastAsia="仿宋" w:cs="Arial"/>
                <w:color w:val="auto"/>
                <w:sz w:val="24"/>
              </w:rPr>
              <w:tab/>
            </w:r>
          </w:p>
        </w:tc>
      </w:tr>
      <w:bookmarkEnd w:id="0"/>
    </w:tbl>
    <w:p w14:paraId="2E7A3137">
      <w:pPr>
        <w:widowControl/>
        <w:jc w:val="left"/>
      </w:pPr>
    </w:p>
    <w:sectPr>
      <w:headerReference r:id="rId3" w:type="first"/>
      <w:pgSz w:w="11906" w:h="16838"/>
      <w:pgMar w:top="1134" w:right="1416" w:bottom="993" w:left="1276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0D06F">
    <w:pPr>
      <w:spacing w:line="240" w:lineRule="atLeast"/>
      <w:jc w:val="distribute"/>
      <w:rPr>
        <w:rFonts w:cs="Arial" w:asciiTheme="majorEastAsia" w:hAnsiTheme="majorEastAsia" w:eastAsiaTheme="majorEastAsia"/>
        <w:b/>
        <w:color w:val="FF0000"/>
        <w:spacing w:val="98"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ZjMzYzJhNjQzYzlmN2VlNTgzOTVjYWE4NTI4MzIifQ=="/>
  </w:docVars>
  <w:rsids>
    <w:rsidRoot w:val="00000000"/>
    <w:rsid w:val="13C2795A"/>
    <w:rsid w:val="164C1C05"/>
    <w:rsid w:val="492C05AE"/>
    <w:rsid w:val="53491679"/>
    <w:rsid w:val="5A2E419E"/>
    <w:rsid w:val="5FED3126"/>
    <w:rsid w:val="669F6DA2"/>
    <w:rsid w:val="69494598"/>
    <w:rsid w:val="75E828E2"/>
    <w:rsid w:val="BFEFE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703</Characters>
  <Lines>0</Lines>
  <Paragraphs>0</Paragraphs>
  <TotalTime>51</TotalTime>
  <ScaleCrop>false</ScaleCrop>
  <LinksUpToDate>false</LinksUpToDate>
  <CharactersWithSpaces>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2023-03-30T13:11:00Z</dcterms:created>
  <dc:creator>NINGMEI</dc:creator>
  <cp:lastModifiedBy>田巍 Jolie</cp:lastModifiedBy>
  <dcterms:modified xsi:type="dcterms:W3CDTF">2025-12-31T06:26:12Z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71010D3B47DF4FA8AEA1B71B65ADAD87</vt:lpwstr>
  </property>
  <property fmtid="{D5CDD505-2E9C-101B-9397-08002B2CF9AE}" pid="4" name="KSOTemplateDocerSaveRecord">
    <vt:lpwstr>eyJoZGlkIjoiNGJkZjMzYzJhNjQzYzlmN2VlNTgzOTVjYWE4NTI4MzIiLCJ1c2VySWQiOiI5OTMxODE1NTAifQ==</vt:lpwstr>
  </property>
</Properties>
</file>