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B4DFC">
      <w:pPr>
        <w:spacing w:line="360" w:lineRule="auto"/>
        <w:jc w:val="center"/>
        <w:rPr>
          <w:rFonts w:hint="eastAsia" w:ascii="宋体" w:hAnsi="宋体" w:eastAsia="宋体" w:cs="Times New Roman"/>
          <w:sz w:val="52"/>
          <w:szCs w:val="22"/>
        </w:rPr>
      </w:pPr>
      <w:bookmarkStart w:id="4" w:name="_GoBack"/>
      <w:bookmarkEnd w:id="4"/>
    </w:p>
    <w:p w14:paraId="5D846D27">
      <w:pPr>
        <w:spacing w:line="360" w:lineRule="auto"/>
        <w:jc w:val="center"/>
        <w:rPr>
          <w:rFonts w:ascii="宋体" w:hAnsi="宋体" w:eastAsia="宋体" w:cs="Times New Roman"/>
          <w:sz w:val="40"/>
          <w:szCs w:val="18"/>
        </w:rPr>
      </w:pPr>
      <w:r>
        <w:rPr>
          <w:rFonts w:hint="eastAsia" w:ascii="宋体" w:hAnsi="宋体" w:eastAsia="宋体" w:cs="Times New Roman"/>
          <w:sz w:val="52"/>
          <w:szCs w:val="22"/>
        </w:rPr>
        <w:t>中国工程机械工业协会团体标准</w:t>
      </w:r>
    </w:p>
    <w:p w14:paraId="68FE3034">
      <w:pPr>
        <w:widowControl w:val="0"/>
        <w:spacing w:after="0" w:line="360" w:lineRule="auto"/>
        <w:ind w:left="426" w:leftChars="202" w:right="225" w:rightChars="107" w:hanging="2"/>
        <w:jc w:val="center"/>
        <w:rPr>
          <w:rFonts w:ascii="黑体" w:hAnsi="Times New Roman" w:eastAsia="黑体" w:cs="Times New Roman"/>
          <w:kern w:val="2"/>
          <w:sz w:val="32"/>
          <w:szCs w:val="15"/>
          <w:lang w:val="en-US" w:eastAsia="zh-CN" w:bidi="ar-SA"/>
        </w:rPr>
      </w:pPr>
    </w:p>
    <w:p w14:paraId="5C49B0D0">
      <w:pPr>
        <w:widowControl w:val="0"/>
        <w:spacing w:after="0" w:line="360" w:lineRule="auto"/>
        <w:ind w:left="426" w:leftChars="202" w:right="225" w:rightChars="107" w:hanging="2"/>
        <w:jc w:val="center"/>
        <w:rPr>
          <w:rFonts w:ascii="黑体" w:hAnsi="Times New Roman" w:eastAsia="黑体" w:cs="Times New Roman"/>
          <w:kern w:val="2"/>
          <w:sz w:val="32"/>
          <w:szCs w:val="15"/>
          <w:lang w:val="en-US" w:eastAsia="zh-CN" w:bidi="ar-SA"/>
        </w:rPr>
      </w:pPr>
    </w:p>
    <w:p w14:paraId="06F00699">
      <w:pPr>
        <w:widowControl w:val="0"/>
        <w:spacing w:line="360" w:lineRule="auto"/>
        <w:jc w:val="center"/>
        <w:textAlignment w:val="center"/>
        <w:rPr>
          <w:rFonts w:hint="eastAsia" w:ascii="黑体" w:eastAsia="黑体" w:cs="Times New Roman"/>
          <w:kern w:val="2"/>
          <w:sz w:val="52"/>
          <w:szCs w:val="22"/>
          <w:lang w:val="en-US" w:eastAsia="zh-CN" w:bidi="ar-SA"/>
        </w:rPr>
      </w:pPr>
      <w:r>
        <w:rPr>
          <w:rFonts w:hint="eastAsia" w:ascii="黑体" w:hAnsi="Times New Roman" w:eastAsia="黑体" w:cs="Times New Roman"/>
          <w:kern w:val="2"/>
          <w:sz w:val="52"/>
          <w:szCs w:val="22"/>
          <w:lang w:val="en-US" w:eastAsia="zh-CN" w:bidi="ar-SA"/>
        </w:rPr>
        <w:t>移动式升降工作平台</w:t>
      </w:r>
      <w:r>
        <w:rPr>
          <w:rFonts w:hint="eastAsia" w:ascii="黑体" w:eastAsia="黑体" w:cs="Times New Roman"/>
          <w:kern w:val="2"/>
          <w:sz w:val="52"/>
          <w:szCs w:val="22"/>
          <w:lang w:val="en-US" w:eastAsia="zh-CN" w:bidi="ar-SA"/>
        </w:rPr>
        <w:t>主要零部件</w:t>
      </w:r>
    </w:p>
    <w:p w14:paraId="46ECFFBA">
      <w:pPr>
        <w:widowControl w:val="0"/>
        <w:spacing w:line="360" w:lineRule="auto"/>
        <w:jc w:val="center"/>
        <w:textAlignment w:val="center"/>
        <w:rPr>
          <w:rFonts w:hint="eastAsia" w:ascii="黑体" w:hAnsi="Times New Roman" w:eastAsia="黑体" w:cs="Times New Roman"/>
          <w:kern w:val="2"/>
          <w:sz w:val="52"/>
          <w:szCs w:val="22"/>
          <w:lang w:val="en-US" w:eastAsia="zh-CN" w:bidi="ar-SA"/>
        </w:rPr>
      </w:pPr>
      <w:r>
        <w:rPr>
          <w:rFonts w:hint="eastAsia" w:ascii="黑体" w:eastAsia="黑体" w:cs="Times New Roman"/>
          <w:kern w:val="2"/>
          <w:sz w:val="52"/>
          <w:szCs w:val="22"/>
          <w:lang w:val="en-US" w:eastAsia="zh-CN" w:bidi="ar-SA"/>
        </w:rPr>
        <w:t>报废条件</w:t>
      </w:r>
    </w:p>
    <w:p w14:paraId="47BA5962">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eastAsia="宋体"/>
          <w:color w:val="000000" w:themeColor="text1"/>
          <w:kern w:val="2"/>
          <w:sz w:val="32"/>
          <w:szCs w:val="32"/>
          <w:highlight w:val="none"/>
          <w:lang w:val="en-US" w:eastAsia="zh-CN"/>
          <w14:textFill>
            <w14:solidFill>
              <w14:schemeClr w14:val="tx1"/>
            </w14:solidFill>
          </w14:textFill>
        </w:rPr>
      </w:pPr>
      <w:r>
        <w:rPr>
          <w:rFonts w:hint="eastAsia" w:eastAsia="宋体"/>
          <w:color w:val="000000" w:themeColor="text1"/>
          <w:kern w:val="2"/>
          <w:sz w:val="32"/>
          <w:szCs w:val="32"/>
          <w:highlight w:val="none"/>
          <w:lang w:val="en-US" w:eastAsia="zh-CN"/>
          <w14:textFill>
            <w14:solidFill>
              <w14:schemeClr w14:val="tx1"/>
            </w14:solidFill>
          </w14:textFill>
        </w:rPr>
        <w:t>Scrapping conditions for main components of mobile elevating work platforms</w:t>
      </w:r>
    </w:p>
    <w:p w14:paraId="3C587934">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b/>
          <w:bCs/>
          <w:kern w:val="0"/>
          <w:sz w:val="30"/>
          <w:szCs w:val="30"/>
          <w:lang w:val="en-US" w:eastAsia="zh-CN" w:bidi="ar-SA"/>
        </w:rPr>
      </w:pPr>
    </w:p>
    <w:p w14:paraId="193CF31C">
      <w:pPr>
        <w:keepNext w:val="0"/>
        <w:keepLines w:val="0"/>
        <w:pageBreakBefore w:val="0"/>
        <w:widowControl w:val="0"/>
        <w:kinsoku/>
        <w:wordWrap/>
        <w:overflowPunct/>
        <w:topLinePunct w:val="0"/>
        <w:autoSpaceDE/>
        <w:autoSpaceDN/>
        <w:bidi w:val="0"/>
        <w:adjustRightInd/>
        <w:snapToGrid/>
        <w:spacing w:line="240" w:lineRule="auto"/>
        <w:jc w:val="center"/>
        <w:rPr>
          <w:rFonts w:ascii="宋体" w:hAnsi="Calibri" w:eastAsia="宋体" w:cs="Times New Roman"/>
          <w:sz w:val="36"/>
          <w:szCs w:val="22"/>
        </w:rPr>
      </w:pPr>
    </w:p>
    <w:p w14:paraId="36883D31">
      <w:pPr>
        <w:spacing w:line="360" w:lineRule="auto"/>
        <w:jc w:val="center"/>
        <w:rPr>
          <w:rFonts w:hint="eastAsia" w:ascii="黑体" w:hAnsi="黑体" w:eastAsia="黑体" w:cs="Times New Roman"/>
          <w:sz w:val="44"/>
          <w:szCs w:val="24"/>
          <w:lang w:eastAsia="zh-CN"/>
        </w:rPr>
      </w:pPr>
      <w:r>
        <w:rPr>
          <w:rFonts w:hint="eastAsia" w:ascii="黑体" w:hAnsi="黑体" w:eastAsia="黑体" w:cs="Times New Roman"/>
          <w:sz w:val="44"/>
          <w:szCs w:val="24"/>
          <w:lang w:eastAsia="zh-CN"/>
        </w:rPr>
        <w:t>（</w:t>
      </w:r>
      <w:r>
        <w:rPr>
          <w:rFonts w:hint="eastAsia" w:ascii="黑体" w:hAnsi="黑体" w:eastAsia="黑体" w:cs="Times New Roman"/>
          <w:sz w:val="44"/>
          <w:szCs w:val="24"/>
          <w:lang w:val="en-US" w:eastAsia="zh-CN"/>
        </w:rPr>
        <w:t>征求意见稿</w:t>
      </w:r>
      <w:r>
        <w:rPr>
          <w:rFonts w:hint="eastAsia" w:ascii="黑体" w:hAnsi="黑体" w:eastAsia="黑体" w:cs="Times New Roman"/>
          <w:sz w:val="44"/>
          <w:szCs w:val="24"/>
          <w:lang w:eastAsia="zh-CN"/>
        </w:rPr>
        <w:t>）</w:t>
      </w:r>
    </w:p>
    <w:p w14:paraId="1EDDF3F7">
      <w:pPr>
        <w:spacing w:line="360" w:lineRule="auto"/>
        <w:jc w:val="center"/>
        <w:rPr>
          <w:rFonts w:ascii="宋体" w:hAnsi="Calibri" w:eastAsia="宋体" w:cs="Times New Roman"/>
          <w:sz w:val="36"/>
          <w:szCs w:val="22"/>
        </w:rPr>
      </w:pPr>
    </w:p>
    <w:p w14:paraId="10BBEAB0">
      <w:pPr>
        <w:spacing w:line="360" w:lineRule="auto"/>
        <w:jc w:val="center"/>
        <w:rPr>
          <w:rFonts w:ascii="宋体" w:hAnsi="Calibri" w:eastAsia="宋体" w:cs="Times New Roman"/>
          <w:sz w:val="36"/>
          <w:szCs w:val="22"/>
        </w:rPr>
      </w:pPr>
      <w:r>
        <w:rPr>
          <w:rFonts w:hint="eastAsia" w:ascii="黑体" w:hAnsi="黑体" w:eastAsia="黑体" w:cs="Times New Roman"/>
          <w:sz w:val="44"/>
          <w:szCs w:val="24"/>
        </w:rPr>
        <w:t>编制说明</w:t>
      </w:r>
    </w:p>
    <w:p w14:paraId="053C080D">
      <w:pPr>
        <w:spacing w:line="360" w:lineRule="auto"/>
        <w:jc w:val="center"/>
        <w:rPr>
          <w:rFonts w:ascii="宋体" w:hAnsi="Calibri" w:eastAsia="宋体" w:cs="Times New Roman"/>
          <w:sz w:val="36"/>
          <w:szCs w:val="22"/>
        </w:rPr>
      </w:pPr>
    </w:p>
    <w:p w14:paraId="511C4A9C">
      <w:pPr>
        <w:spacing w:line="360" w:lineRule="auto"/>
        <w:jc w:val="center"/>
        <w:rPr>
          <w:rFonts w:ascii="宋体" w:hAnsi="Calibri" w:eastAsia="宋体" w:cs="Times New Roman"/>
          <w:sz w:val="36"/>
          <w:szCs w:val="22"/>
        </w:rPr>
      </w:pPr>
    </w:p>
    <w:p w14:paraId="747394C6">
      <w:pPr>
        <w:spacing w:line="360" w:lineRule="auto"/>
        <w:jc w:val="center"/>
        <w:rPr>
          <w:rFonts w:ascii="宋体" w:hAnsi="Calibri" w:eastAsia="宋体" w:cs="Times New Roman"/>
          <w:sz w:val="36"/>
          <w:szCs w:val="22"/>
        </w:rPr>
      </w:pPr>
    </w:p>
    <w:p w14:paraId="6BD3B039">
      <w:pPr>
        <w:spacing w:line="360" w:lineRule="auto"/>
        <w:jc w:val="center"/>
        <w:rPr>
          <w:rFonts w:ascii="宋体" w:hAnsi="Calibri" w:eastAsia="宋体" w:cs="Times New Roman"/>
          <w:sz w:val="36"/>
          <w:szCs w:val="22"/>
        </w:rPr>
      </w:pPr>
    </w:p>
    <w:p w14:paraId="0FDFBF81">
      <w:pPr>
        <w:spacing w:line="360" w:lineRule="auto"/>
        <w:jc w:val="both"/>
        <w:rPr>
          <w:rFonts w:ascii="宋体" w:hAnsi="宋体" w:eastAsia="宋体" w:cs="Times New Roman"/>
          <w:sz w:val="30"/>
          <w:szCs w:val="24"/>
        </w:rPr>
      </w:pPr>
    </w:p>
    <w:p w14:paraId="4BEAC7A3">
      <w:pPr>
        <w:spacing w:line="360" w:lineRule="auto"/>
        <w:jc w:val="center"/>
        <w:rPr>
          <w:rFonts w:ascii="宋体" w:hAnsi="宋体" w:eastAsia="宋体" w:cs="Times New Roman"/>
          <w:sz w:val="32"/>
          <w:szCs w:val="21"/>
        </w:rPr>
      </w:pPr>
      <w:r>
        <w:rPr>
          <w:rFonts w:hint="eastAsia" w:ascii="宋体" w:hAnsi="宋体" w:eastAsia="宋体" w:cs="Times New Roman"/>
          <w:sz w:val="32"/>
          <w:szCs w:val="21"/>
        </w:rPr>
        <w:t>标准编制工作组</w:t>
      </w:r>
    </w:p>
    <w:p w14:paraId="4637975F">
      <w:pPr>
        <w:pStyle w:val="4"/>
        <w:spacing w:line="400" w:lineRule="exact"/>
        <w:jc w:val="center"/>
        <w:rPr>
          <w:rFonts w:hint="eastAsia" w:ascii="宋体" w:hAnsi="宋体" w:eastAsia="宋体" w:cs="宋体"/>
          <w:sz w:val="30"/>
          <w:szCs w:val="30"/>
          <w:highlight w:val="none"/>
          <w:lang w:val="en-US"/>
        </w:rPr>
        <w:sectPr>
          <w:pgSz w:w="11907" w:h="16839"/>
          <w:pgMar w:top="1440" w:right="1800" w:bottom="1440" w:left="1800" w:header="1418" w:footer="601" w:gutter="0"/>
          <w:pgNumType w:start="1"/>
          <w:cols w:space="425" w:num="1"/>
          <w:docGrid w:type="lines" w:linePitch="312" w:charSpace="0"/>
        </w:sectPr>
      </w:pPr>
      <w:r>
        <w:rPr>
          <w:rFonts w:hint="eastAsia" w:ascii="宋体" w:hAnsi="宋体" w:eastAsia="宋体" w:cs="宋体"/>
          <w:w w:val="120"/>
          <w:sz w:val="30"/>
          <w:szCs w:val="24"/>
        </w:rPr>
        <w:t>202</w:t>
      </w:r>
      <w:r>
        <w:rPr>
          <w:rFonts w:hint="eastAsia" w:hAnsi="宋体" w:cs="宋体"/>
          <w:w w:val="120"/>
          <w:sz w:val="30"/>
          <w:szCs w:val="24"/>
          <w:lang w:val="en-US" w:eastAsia="zh-CN"/>
        </w:rPr>
        <w:t>6</w:t>
      </w:r>
      <w:r>
        <w:rPr>
          <w:rFonts w:hint="eastAsia" w:ascii="宋体" w:hAnsi="宋体" w:eastAsia="宋体" w:cs="宋体"/>
          <w:w w:val="120"/>
          <w:sz w:val="30"/>
          <w:szCs w:val="24"/>
          <w:lang w:val="en-US" w:eastAsia="zh-CN"/>
        </w:rPr>
        <w:t>年</w:t>
      </w:r>
      <w:r>
        <w:rPr>
          <w:rFonts w:hint="eastAsia" w:hAnsi="宋体" w:cs="宋体"/>
          <w:w w:val="120"/>
          <w:sz w:val="30"/>
          <w:szCs w:val="24"/>
          <w:lang w:val="en-US" w:eastAsia="zh-CN"/>
        </w:rPr>
        <w:t>5</w:t>
      </w:r>
      <w:r>
        <w:rPr>
          <w:rFonts w:hint="eastAsia" w:ascii="宋体" w:hAnsi="宋体" w:eastAsia="宋体" w:cs="宋体"/>
          <w:w w:val="120"/>
          <w:sz w:val="30"/>
          <w:szCs w:val="24"/>
          <w:lang w:val="en-US" w:eastAsia="zh-CN"/>
        </w:rPr>
        <w:t>月</w:t>
      </w:r>
    </w:p>
    <w:p w14:paraId="11B817E9">
      <w:pPr>
        <w:pStyle w:val="4"/>
        <w:spacing w:line="400" w:lineRule="exact"/>
        <w:jc w:val="center"/>
        <w:rPr>
          <w:rFonts w:hint="eastAsia" w:ascii="黑体" w:hAnsi="宋体" w:eastAsia="黑体"/>
          <w:sz w:val="30"/>
          <w:szCs w:val="30"/>
          <w:highlight w:val="none"/>
          <w:lang w:eastAsia="zh-CN"/>
        </w:rPr>
      </w:pPr>
      <w:r>
        <w:rPr>
          <w:rFonts w:hint="eastAsia" w:ascii="黑体" w:hAnsi="宋体" w:eastAsia="黑体"/>
          <w:sz w:val="30"/>
          <w:szCs w:val="30"/>
          <w:highlight w:val="none"/>
        </w:rPr>
        <w:t>《</w:t>
      </w:r>
      <w:r>
        <w:rPr>
          <w:rFonts w:hint="eastAsia" w:ascii="黑体" w:hAnsi="宋体" w:eastAsia="黑体"/>
          <w:sz w:val="30"/>
          <w:szCs w:val="30"/>
          <w:highlight w:val="none"/>
          <w:lang w:val="en-US" w:eastAsia="zh-CN"/>
        </w:rPr>
        <w:t>移动式升降工作平台主要零部件报废条件</w:t>
      </w:r>
      <w:r>
        <w:rPr>
          <w:rFonts w:hint="eastAsia" w:ascii="黑体" w:hAnsi="宋体" w:eastAsia="黑体"/>
          <w:sz w:val="30"/>
          <w:szCs w:val="30"/>
          <w:highlight w:val="none"/>
        </w:rPr>
        <w:t>》</w:t>
      </w:r>
      <w:r>
        <w:rPr>
          <w:rFonts w:hint="eastAsia" w:ascii="黑体" w:hAnsi="宋体" w:eastAsia="黑体"/>
          <w:sz w:val="30"/>
          <w:szCs w:val="30"/>
          <w:highlight w:val="none"/>
          <w:lang w:eastAsia="zh-CN"/>
        </w:rPr>
        <w:t>（</w:t>
      </w:r>
      <w:r>
        <w:rPr>
          <w:rFonts w:hint="eastAsia" w:ascii="黑体" w:hAnsi="宋体" w:eastAsia="黑体"/>
          <w:sz w:val="30"/>
          <w:szCs w:val="30"/>
          <w:highlight w:val="none"/>
          <w:lang w:val="en-US" w:eastAsia="zh-CN"/>
        </w:rPr>
        <w:t>征求意见稿</w:t>
      </w:r>
      <w:r>
        <w:rPr>
          <w:rFonts w:hint="eastAsia" w:ascii="黑体" w:hAnsi="宋体" w:eastAsia="黑体"/>
          <w:sz w:val="30"/>
          <w:szCs w:val="30"/>
          <w:highlight w:val="none"/>
          <w:lang w:eastAsia="zh-CN"/>
        </w:rPr>
        <w:t>）</w:t>
      </w:r>
    </w:p>
    <w:p w14:paraId="053D4CB2">
      <w:pPr>
        <w:pStyle w:val="4"/>
        <w:spacing w:line="400" w:lineRule="exact"/>
        <w:jc w:val="center"/>
        <w:rPr>
          <w:rFonts w:ascii="黑体" w:eastAsia="黑体"/>
          <w:sz w:val="30"/>
          <w:szCs w:val="30"/>
          <w:highlight w:val="none"/>
        </w:rPr>
      </w:pPr>
      <w:r>
        <w:rPr>
          <w:rFonts w:hint="eastAsia" w:ascii="黑体" w:eastAsia="黑体"/>
          <w:sz w:val="30"/>
          <w:szCs w:val="30"/>
          <w:highlight w:val="none"/>
        </w:rPr>
        <w:t>标准编制说明</w:t>
      </w:r>
    </w:p>
    <w:p w14:paraId="10EC72C0">
      <w:pPr>
        <w:pStyle w:val="4"/>
        <w:spacing w:line="400" w:lineRule="exact"/>
        <w:jc w:val="center"/>
        <w:rPr>
          <w:sz w:val="32"/>
          <w:highlight w:val="none"/>
        </w:rPr>
      </w:pPr>
    </w:p>
    <w:p w14:paraId="08B95258">
      <w:pPr>
        <w:pStyle w:val="4"/>
        <w:keepNext w:val="0"/>
        <w:keepLines w:val="0"/>
        <w:pageBreakBefore w:val="0"/>
        <w:kinsoku/>
        <w:wordWrap/>
        <w:overflowPunct/>
        <w:topLinePunct w:val="0"/>
        <w:bidi w:val="0"/>
        <w:adjustRightInd/>
        <w:snapToGrid/>
        <w:spacing w:line="360" w:lineRule="auto"/>
        <w:textAlignment w:val="auto"/>
        <w:rPr>
          <w:rFonts w:ascii="黑体" w:hAnsi="宋体" w:eastAsia="黑体"/>
          <w:bCs/>
          <w:sz w:val="24"/>
          <w:szCs w:val="24"/>
          <w:highlight w:val="none"/>
        </w:rPr>
      </w:pPr>
      <w:r>
        <w:rPr>
          <w:rFonts w:hint="eastAsia" w:ascii="黑体" w:hAnsi="宋体" w:eastAsia="黑体"/>
          <w:bCs/>
          <w:sz w:val="24"/>
          <w:szCs w:val="24"/>
          <w:highlight w:val="none"/>
          <w:lang w:val="en-US" w:eastAsia="zh-CN"/>
        </w:rPr>
        <w:t>一、</w:t>
      </w:r>
      <w:r>
        <w:rPr>
          <w:rFonts w:hint="eastAsia" w:ascii="黑体" w:hAnsi="宋体" w:eastAsia="黑体"/>
          <w:bCs/>
          <w:sz w:val="24"/>
          <w:szCs w:val="24"/>
          <w:highlight w:val="none"/>
        </w:rPr>
        <w:t xml:space="preserve"> 工作简况</w:t>
      </w:r>
    </w:p>
    <w:p w14:paraId="735B0DDB">
      <w:pPr>
        <w:pStyle w:val="4"/>
        <w:keepNext w:val="0"/>
        <w:keepLines w:val="0"/>
        <w:pageBreakBefore w:val="0"/>
        <w:kinsoku/>
        <w:wordWrap/>
        <w:overflowPunct/>
        <w:topLinePunct w:val="0"/>
        <w:bidi w:val="0"/>
        <w:adjustRightInd/>
        <w:snapToGrid/>
        <w:spacing w:line="360" w:lineRule="auto"/>
        <w:textAlignment w:val="auto"/>
        <w:rPr>
          <w:rFonts w:hint="default"/>
          <w:sz w:val="24"/>
          <w:szCs w:val="24"/>
          <w:highlight w:val="none"/>
          <w:lang w:val="en-US" w:eastAsia="zh-CN"/>
        </w:rPr>
      </w:pPr>
      <w:r>
        <w:rPr>
          <w:rFonts w:hint="eastAsia"/>
          <w:sz w:val="24"/>
          <w:szCs w:val="24"/>
          <w:highlight w:val="none"/>
          <w:lang w:val="en-US" w:eastAsia="zh-CN"/>
        </w:rPr>
        <w:t>1.制定背景</w:t>
      </w:r>
    </w:p>
    <w:p w14:paraId="0D05B9E9">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eastAsia"/>
          <w:sz w:val="24"/>
          <w:szCs w:val="24"/>
          <w:highlight w:val="none"/>
          <w:lang w:eastAsia="zh-CN"/>
        </w:rPr>
      </w:pPr>
      <w:r>
        <w:rPr>
          <w:rFonts w:hint="eastAsia"/>
          <w:sz w:val="24"/>
          <w:szCs w:val="24"/>
          <w:highlight w:val="none"/>
          <w:lang w:val="en-US" w:eastAsia="zh-CN"/>
        </w:rPr>
        <w:t>随着移动式升降工作平台的市场保有量逐渐增加，秉承着安全第一的原则，相当一部分的老旧设备的主要零部件面临着淘汰的问题</w:t>
      </w:r>
      <w:r>
        <w:rPr>
          <w:rFonts w:hint="eastAsia"/>
          <w:sz w:val="24"/>
          <w:szCs w:val="24"/>
          <w:highlight w:val="none"/>
        </w:rPr>
        <w:t>，需要有一套明确、统一的</w:t>
      </w:r>
      <w:r>
        <w:rPr>
          <w:rFonts w:hint="eastAsia"/>
          <w:sz w:val="24"/>
          <w:szCs w:val="24"/>
          <w:highlight w:val="none"/>
          <w:lang w:val="en-US" w:eastAsia="zh-CN"/>
        </w:rPr>
        <w:t>标准</w:t>
      </w:r>
      <w:r>
        <w:rPr>
          <w:rFonts w:hint="eastAsia"/>
          <w:sz w:val="24"/>
          <w:szCs w:val="24"/>
          <w:highlight w:val="none"/>
        </w:rPr>
        <w:t>来指导。</w:t>
      </w:r>
      <w:r>
        <w:rPr>
          <w:rFonts w:hint="eastAsia"/>
          <w:sz w:val="24"/>
          <w:szCs w:val="24"/>
          <w:highlight w:val="none"/>
          <w:lang w:val="en-US" w:eastAsia="zh-CN"/>
        </w:rPr>
        <w:t>因此，针对目前行业和众多企业的迫切需求，亟需制定移动式升降工作平台主要零部件报废的相关团体标准</w:t>
      </w:r>
      <w:r>
        <w:rPr>
          <w:rFonts w:hint="eastAsia"/>
          <w:sz w:val="24"/>
          <w:szCs w:val="24"/>
          <w:highlight w:val="none"/>
          <w:lang w:eastAsia="zh-CN"/>
        </w:rPr>
        <w:t>。</w:t>
      </w:r>
    </w:p>
    <w:p w14:paraId="090C6A6A">
      <w:pPr>
        <w:pStyle w:val="4"/>
        <w:keepNext w:val="0"/>
        <w:keepLines w:val="0"/>
        <w:pageBreakBefore w:val="0"/>
        <w:kinsoku/>
        <w:wordWrap/>
        <w:overflowPunct/>
        <w:topLinePunct w:val="0"/>
        <w:bidi w:val="0"/>
        <w:adjustRightInd/>
        <w:snapToGrid/>
        <w:spacing w:line="360" w:lineRule="auto"/>
        <w:textAlignment w:val="auto"/>
        <w:rPr>
          <w:rFonts w:hint="default"/>
          <w:sz w:val="24"/>
          <w:szCs w:val="24"/>
          <w:highlight w:val="none"/>
          <w:lang w:val="en-US" w:eastAsia="zh-CN"/>
        </w:rPr>
      </w:pPr>
      <w:r>
        <w:rPr>
          <w:rFonts w:hint="eastAsia"/>
          <w:sz w:val="24"/>
          <w:szCs w:val="24"/>
          <w:highlight w:val="none"/>
          <w:lang w:val="en-US" w:eastAsia="zh-CN"/>
        </w:rPr>
        <w:t>2.任务来源</w:t>
      </w:r>
    </w:p>
    <w:p w14:paraId="3077F4D4">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default"/>
          <w:sz w:val="24"/>
          <w:szCs w:val="24"/>
          <w:highlight w:val="none"/>
          <w:lang w:val="en-US" w:eastAsia="zh-CN"/>
        </w:rPr>
      </w:pPr>
      <w:r>
        <w:rPr>
          <w:rFonts w:hint="eastAsia"/>
          <w:sz w:val="24"/>
          <w:szCs w:val="24"/>
          <w:highlight w:val="none"/>
          <w:lang w:val="en-US" w:eastAsia="zh-CN"/>
        </w:rPr>
        <w:t>本标准由徐工消防安全装备有限公司提出，经中国工程机械工业协会装修与高空作业机械分会批准立项，列入2025年团体标准制定计划（计划号：JH-2025-006）。</w:t>
      </w:r>
    </w:p>
    <w:p w14:paraId="3D9D0E5A">
      <w:pPr>
        <w:pStyle w:val="4"/>
        <w:keepNext w:val="0"/>
        <w:keepLines w:val="0"/>
        <w:pageBreakBefore w:val="0"/>
        <w:kinsoku/>
        <w:wordWrap/>
        <w:overflowPunct/>
        <w:topLinePunct w:val="0"/>
        <w:bidi w:val="0"/>
        <w:adjustRightInd/>
        <w:snapToGrid/>
        <w:spacing w:line="360" w:lineRule="auto"/>
        <w:textAlignment w:val="auto"/>
        <w:rPr>
          <w:rFonts w:hint="default"/>
          <w:sz w:val="24"/>
          <w:szCs w:val="24"/>
          <w:highlight w:val="none"/>
          <w:lang w:val="en-US" w:eastAsia="zh-CN"/>
        </w:rPr>
      </w:pPr>
      <w:r>
        <w:rPr>
          <w:rFonts w:hint="eastAsia"/>
          <w:sz w:val="24"/>
          <w:szCs w:val="24"/>
          <w:highlight w:val="none"/>
          <w:lang w:val="en-US" w:eastAsia="zh-CN"/>
        </w:rPr>
        <w:t>3.起草过程</w:t>
      </w:r>
    </w:p>
    <w:p w14:paraId="0F8AA019">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default"/>
          <w:sz w:val="24"/>
          <w:szCs w:val="24"/>
          <w:highlight w:val="none"/>
          <w:lang w:val="en-US" w:eastAsia="zh-CN"/>
        </w:rPr>
      </w:pPr>
      <w:r>
        <w:rPr>
          <w:rFonts w:hint="eastAsia"/>
          <w:sz w:val="24"/>
          <w:szCs w:val="24"/>
          <w:highlight w:val="none"/>
          <w:lang w:val="en-US" w:eastAsia="zh-CN"/>
        </w:rPr>
        <w:t>前期调研</w:t>
      </w:r>
      <w:r>
        <w:rPr>
          <w:rFonts w:hint="default"/>
          <w:sz w:val="24"/>
          <w:szCs w:val="24"/>
          <w:highlight w:val="none"/>
          <w:lang w:val="en-US" w:eastAsia="zh-CN"/>
        </w:rPr>
        <w:t>阶段（20</w:t>
      </w:r>
      <w:r>
        <w:rPr>
          <w:rFonts w:hint="eastAsia"/>
          <w:sz w:val="24"/>
          <w:szCs w:val="24"/>
          <w:highlight w:val="none"/>
          <w:lang w:val="en-US" w:eastAsia="zh-CN"/>
        </w:rPr>
        <w:t>25</w:t>
      </w:r>
      <w:r>
        <w:rPr>
          <w:rFonts w:hint="default"/>
          <w:sz w:val="24"/>
          <w:szCs w:val="24"/>
          <w:highlight w:val="none"/>
          <w:lang w:val="en-US" w:eastAsia="zh-CN"/>
        </w:rPr>
        <w:t>年</w:t>
      </w:r>
      <w:r>
        <w:rPr>
          <w:rFonts w:hint="eastAsia"/>
          <w:sz w:val="24"/>
          <w:szCs w:val="24"/>
          <w:highlight w:val="none"/>
          <w:lang w:val="en-US" w:eastAsia="zh-CN"/>
        </w:rPr>
        <w:t>7</w:t>
      </w:r>
      <w:r>
        <w:rPr>
          <w:rFonts w:hint="default"/>
          <w:sz w:val="24"/>
          <w:szCs w:val="24"/>
          <w:highlight w:val="none"/>
          <w:lang w:val="en-US" w:eastAsia="zh-CN"/>
        </w:rPr>
        <w:t>月-</w:t>
      </w:r>
      <w:r>
        <w:rPr>
          <w:rFonts w:hint="eastAsia"/>
          <w:sz w:val="24"/>
          <w:szCs w:val="24"/>
          <w:highlight w:val="none"/>
          <w:lang w:val="en-US" w:eastAsia="zh-CN"/>
        </w:rPr>
        <w:t>2025年8</w:t>
      </w:r>
      <w:r>
        <w:rPr>
          <w:rFonts w:hint="default"/>
          <w:sz w:val="24"/>
          <w:szCs w:val="24"/>
          <w:highlight w:val="none"/>
          <w:lang w:val="en-US" w:eastAsia="zh-CN"/>
        </w:rPr>
        <w:t>月）：成立起草组，调研行业需求。</w:t>
      </w:r>
    </w:p>
    <w:p w14:paraId="2F1957D1">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default"/>
          <w:sz w:val="24"/>
          <w:szCs w:val="24"/>
          <w:highlight w:val="none"/>
          <w:lang w:val="en-US" w:eastAsia="zh-CN"/>
        </w:rPr>
      </w:pPr>
      <w:r>
        <w:rPr>
          <w:rFonts w:hint="eastAsia"/>
          <w:sz w:val="24"/>
          <w:szCs w:val="24"/>
          <w:highlight w:val="none"/>
          <w:lang w:val="en-US" w:eastAsia="zh-CN"/>
        </w:rPr>
        <w:t>草案</w:t>
      </w:r>
      <w:r>
        <w:rPr>
          <w:rFonts w:hint="default"/>
          <w:sz w:val="24"/>
          <w:szCs w:val="24"/>
          <w:highlight w:val="none"/>
          <w:lang w:val="en-US" w:eastAsia="zh-CN"/>
        </w:rPr>
        <w:t>起草阶段（20</w:t>
      </w:r>
      <w:r>
        <w:rPr>
          <w:rFonts w:hint="eastAsia"/>
          <w:sz w:val="24"/>
          <w:szCs w:val="24"/>
          <w:highlight w:val="none"/>
          <w:lang w:val="en-US" w:eastAsia="zh-CN"/>
        </w:rPr>
        <w:t>25</w:t>
      </w:r>
      <w:r>
        <w:rPr>
          <w:rFonts w:hint="default"/>
          <w:sz w:val="24"/>
          <w:szCs w:val="24"/>
          <w:highlight w:val="none"/>
          <w:lang w:val="en-US" w:eastAsia="zh-CN"/>
        </w:rPr>
        <w:t>年</w:t>
      </w:r>
      <w:r>
        <w:rPr>
          <w:rFonts w:hint="eastAsia"/>
          <w:sz w:val="24"/>
          <w:szCs w:val="24"/>
          <w:highlight w:val="none"/>
          <w:lang w:val="en-US" w:eastAsia="zh-CN"/>
        </w:rPr>
        <w:t>8</w:t>
      </w:r>
      <w:r>
        <w:rPr>
          <w:rFonts w:hint="default"/>
          <w:sz w:val="24"/>
          <w:szCs w:val="24"/>
          <w:highlight w:val="none"/>
          <w:lang w:val="en-US" w:eastAsia="zh-CN"/>
        </w:rPr>
        <w:t>月-</w:t>
      </w:r>
      <w:r>
        <w:rPr>
          <w:rFonts w:hint="eastAsia"/>
          <w:sz w:val="24"/>
          <w:szCs w:val="24"/>
          <w:highlight w:val="none"/>
          <w:lang w:val="en-US" w:eastAsia="zh-CN"/>
        </w:rPr>
        <w:t>2026年5</w:t>
      </w:r>
      <w:r>
        <w:rPr>
          <w:rFonts w:hint="default"/>
          <w:sz w:val="24"/>
          <w:szCs w:val="24"/>
          <w:highlight w:val="none"/>
          <w:lang w:val="en-US" w:eastAsia="zh-CN"/>
        </w:rPr>
        <w:t>月）：形成</w:t>
      </w:r>
      <w:r>
        <w:rPr>
          <w:rFonts w:hint="eastAsia"/>
          <w:sz w:val="24"/>
          <w:szCs w:val="24"/>
          <w:highlight w:val="none"/>
          <w:lang w:val="en-US" w:eastAsia="zh-CN"/>
        </w:rPr>
        <w:t>草案</w:t>
      </w:r>
      <w:r>
        <w:rPr>
          <w:rFonts w:hint="default"/>
          <w:sz w:val="24"/>
          <w:szCs w:val="24"/>
          <w:highlight w:val="none"/>
          <w:lang w:val="en-US" w:eastAsia="zh-CN"/>
        </w:rPr>
        <w:t>，组织专家研讨。</w:t>
      </w:r>
    </w:p>
    <w:p w14:paraId="55CB9573">
      <w:pPr>
        <w:pStyle w:val="4"/>
        <w:keepNext w:val="0"/>
        <w:keepLines w:val="0"/>
        <w:pageBreakBefore w:val="0"/>
        <w:kinsoku/>
        <w:wordWrap/>
        <w:overflowPunct/>
        <w:topLinePunct w:val="0"/>
        <w:bidi w:val="0"/>
        <w:adjustRightInd/>
        <w:snapToGrid/>
        <w:spacing w:line="360" w:lineRule="auto"/>
        <w:textAlignment w:val="auto"/>
        <w:rPr>
          <w:rFonts w:hint="default"/>
          <w:sz w:val="24"/>
          <w:szCs w:val="24"/>
          <w:highlight w:val="none"/>
          <w:lang w:val="en-US" w:eastAsia="zh-CN"/>
        </w:rPr>
      </w:pPr>
      <w:r>
        <w:rPr>
          <w:rFonts w:hint="eastAsia"/>
          <w:sz w:val="24"/>
          <w:szCs w:val="24"/>
          <w:highlight w:val="none"/>
          <w:lang w:val="en-US" w:eastAsia="zh-CN"/>
        </w:rPr>
        <w:t>4.主要参加单位</w:t>
      </w:r>
    </w:p>
    <w:p w14:paraId="580EF793">
      <w:pPr>
        <w:pStyle w:val="4"/>
        <w:keepNext w:val="0"/>
        <w:keepLines w:val="0"/>
        <w:pageBreakBefore w:val="0"/>
        <w:kinsoku/>
        <w:wordWrap/>
        <w:overflowPunct/>
        <w:topLinePunct w:val="0"/>
        <w:bidi w:val="0"/>
        <w:adjustRightInd/>
        <w:snapToGrid/>
        <w:spacing w:line="360" w:lineRule="auto"/>
        <w:ind w:firstLine="420"/>
        <w:textAlignment w:val="auto"/>
        <w:rPr>
          <w:rFonts w:hint="eastAsia" w:eastAsia="宋体"/>
          <w:sz w:val="24"/>
          <w:szCs w:val="24"/>
          <w:highlight w:val="none"/>
          <w:lang w:val="en-US" w:eastAsia="zh-CN"/>
        </w:rPr>
      </w:pPr>
      <w:r>
        <w:rPr>
          <w:rFonts w:hint="eastAsia"/>
          <w:sz w:val="24"/>
          <w:szCs w:val="24"/>
          <w:highlight w:val="none"/>
        </w:rPr>
        <w:t>徐工消防安全装备有限公司</w:t>
      </w:r>
      <w:r>
        <w:rPr>
          <w:rFonts w:hint="eastAsia"/>
          <w:sz w:val="24"/>
          <w:szCs w:val="24"/>
          <w:highlight w:val="none"/>
          <w:lang w:eastAsia="zh-CN"/>
        </w:rPr>
        <w:t>、</w:t>
      </w:r>
      <w:r>
        <w:rPr>
          <w:rFonts w:hint="eastAsia"/>
          <w:sz w:val="24"/>
          <w:szCs w:val="24"/>
          <w:highlight w:val="none"/>
        </w:rPr>
        <w:t>中国工程机械工业协会装修与高空作业机械分会</w:t>
      </w:r>
      <w:r>
        <w:rPr>
          <w:rFonts w:hint="eastAsia"/>
          <w:sz w:val="24"/>
          <w:szCs w:val="24"/>
          <w:highlight w:val="none"/>
          <w:lang w:val="en-US" w:eastAsia="zh-CN"/>
        </w:rPr>
        <w:t>、</w:t>
      </w:r>
      <w:r>
        <w:rPr>
          <w:rFonts w:hint="eastAsia"/>
          <w:sz w:val="24"/>
          <w:szCs w:val="24"/>
          <w:highlight w:val="none"/>
        </w:rPr>
        <w:t>北京凯博擦窗机械科技有限公司、杭州爱知工程车辆有限公司、江苏柳工机械有限公司、湖南星邦智能装备股份有限公司</w:t>
      </w:r>
      <w:r>
        <w:rPr>
          <w:rFonts w:hint="eastAsia"/>
          <w:sz w:val="24"/>
          <w:szCs w:val="24"/>
          <w:highlight w:val="none"/>
          <w:lang w:eastAsia="zh-CN"/>
        </w:rPr>
        <w:t>、</w:t>
      </w:r>
      <w:r>
        <w:rPr>
          <w:rFonts w:hint="eastAsia"/>
          <w:sz w:val="24"/>
          <w:szCs w:val="24"/>
          <w:highlight w:val="none"/>
        </w:rPr>
        <w:t>杭州赛奇机械股份有限公司、南京辛巴智能装备有限公司</w:t>
      </w:r>
      <w:r>
        <w:rPr>
          <w:rFonts w:hint="eastAsia"/>
          <w:sz w:val="24"/>
          <w:szCs w:val="24"/>
          <w:highlight w:val="none"/>
          <w:lang w:eastAsia="zh-CN"/>
        </w:rPr>
        <w:t>、建研机械检验检测（北京）有限公司</w:t>
      </w:r>
      <w:r>
        <w:rPr>
          <w:rFonts w:hint="eastAsia" w:hAnsi="宋体" w:cs="宋体"/>
          <w:color w:val="auto"/>
          <w:sz w:val="24"/>
          <w:szCs w:val="24"/>
          <w:highlight w:val="none"/>
          <w:lang w:eastAsia="zh-CN"/>
        </w:rPr>
        <w:t>等</w:t>
      </w:r>
    </w:p>
    <w:p w14:paraId="6CE91171">
      <w:pPr>
        <w:pStyle w:val="4"/>
        <w:keepNext w:val="0"/>
        <w:keepLines w:val="0"/>
        <w:pageBreakBefore w:val="0"/>
        <w:kinsoku/>
        <w:wordWrap/>
        <w:overflowPunct/>
        <w:topLinePunct w:val="0"/>
        <w:bidi w:val="0"/>
        <w:adjustRightInd/>
        <w:snapToGrid/>
        <w:spacing w:line="360" w:lineRule="auto"/>
        <w:textAlignment w:val="auto"/>
        <w:rPr>
          <w:rFonts w:hint="eastAsia" w:ascii="黑体" w:hAnsi="宋体" w:eastAsia="黑体"/>
          <w:bCs/>
          <w:sz w:val="24"/>
          <w:szCs w:val="24"/>
          <w:highlight w:val="none"/>
        </w:rPr>
      </w:pPr>
      <w:r>
        <w:rPr>
          <w:rFonts w:hint="eastAsia" w:ascii="黑体" w:hAnsi="宋体" w:eastAsia="黑体"/>
          <w:bCs/>
          <w:sz w:val="24"/>
          <w:szCs w:val="24"/>
          <w:highlight w:val="none"/>
          <w:lang w:val="en-US" w:eastAsia="zh-CN"/>
        </w:rPr>
        <w:t>二、</w:t>
      </w:r>
      <w:r>
        <w:rPr>
          <w:rFonts w:hint="eastAsia" w:ascii="黑体" w:hAnsi="宋体" w:eastAsia="黑体"/>
          <w:bCs/>
          <w:sz w:val="24"/>
          <w:szCs w:val="24"/>
          <w:highlight w:val="none"/>
        </w:rPr>
        <w:t xml:space="preserve"> 标准编制原则和主要内容</w:t>
      </w:r>
    </w:p>
    <w:p w14:paraId="39290E06">
      <w:pPr>
        <w:keepNext w:val="0"/>
        <w:keepLines w:val="0"/>
        <w:pageBreakBefore w:val="0"/>
        <w:kinsoku/>
        <w:wordWrap/>
        <w:overflowPunct/>
        <w:topLinePunct w:val="0"/>
        <w:bidi w:val="0"/>
        <w:adjustRightInd/>
        <w:snapToGrid/>
        <w:spacing w:line="360" w:lineRule="auto"/>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1.编制原则</w:t>
      </w:r>
    </w:p>
    <w:p w14:paraId="3020C67A">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b w:val="0"/>
          <w:i w:val="0"/>
          <w:strike w:val="0"/>
          <w:color w:val="000000" w:themeColor="text1"/>
          <w:sz w:val="24"/>
          <w:u w:val="none"/>
          <w:lang w:eastAsia="zh-CN"/>
          <w14:textFill>
            <w14:solidFill>
              <w14:schemeClr w14:val="tx1"/>
            </w14:solidFill>
          </w14:textFill>
        </w:rPr>
      </w:pPr>
      <w:bookmarkStart w:id="0" w:name="OLE_LINK9"/>
      <w:bookmarkStart w:id="1" w:name="OLE_LINK8"/>
      <w:r>
        <w:rPr>
          <w:rFonts w:hint="eastAsia" w:ascii="宋体" w:hAnsi="宋体" w:eastAsia="宋体" w:cs="宋体"/>
          <w:b w:val="0"/>
          <w:i w:val="0"/>
          <w:strike w:val="0"/>
          <w:color w:val="000000" w:themeColor="text1"/>
          <w:sz w:val="24"/>
          <w:u w:val="none"/>
          <w14:textFill>
            <w14:solidFill>
              <w14:schemeClr w14:val="tx1"/>
            </w14:solidFill>
          </w14:textFill>
        </w:rPr>
        <w:t>本标准在编制</w:t>
      </w:r>
      <w:r>
        <w:rPr>
          <w:rFonts w:hint="eastAsia" w:ascii="宋体" w:hAnsi="宋体" w:cs="宋体"/>
          <w:b w:val="0"/>
          <w:i w:val="0"/>
          <w:strike w:val="0"/>
          <w:color w:val="000000" w:themeColor="text1"/>
          <w:sz w:val="24"/>
          <w:u w:val="none"/>
          <w:lang w:val="en-US" w:eastAsia="zh-CN"/>
          <w14:textFill>
            <w14:solidFill>
              <w14:schemeClr w14:val="tx1"/>
            </w14:solidFill>
          </w14:textFill>
        </w:rPr>
        <w:t>工作</w:t>
      </w:r>
      <w:r>
        <w:rPr>
          <w:rFonts w:hint="eastAsia" w:ascii="宋体" w:hAnsi="宋体" w:eastAsia="宋体" w:cs="宋体"/>
          <w:b w:val="0"/>
          <w:i w:val="0"/>
          <w:strike w:val="0"/>
          <w:color w:val="000000" w:themeColor="text1"/>
          <w:sz w:val="24"/>
          <w:u w:val="none"/>
          <w14:textFill>
            <w14:solidFill>
              <w14:schemeClr w14:val="tx1"/>
            </w14:solidFill>
          </w14:textFill>
        </w:rPr>
        <w:t>中，遵循</w:t>
      </w:r>
      <w:bookmarkEnd w:id="0"/>
      <w:bookmarkEnd w:id="1"/>
      <w:r>
        <w:rPr>
          <w:rFonts w:hint="eastAsia" w:ascii="宋体" w:hAnsi="宋体" w:eastAsia="宋体" w:cs="宋体"/>
          <w:b w:val="0"/>
          <w:i w:val="0"/>
          <w:strike w:val="0"/>
          <w:color w:val="000000" w:themeColor="text1"/>
          <w:sz w:val="24"/>
          <w:u w:val="none"/>
          <w:lang w:eastAsia="zh-CN"/>
          <w14:textFill>
            <w14:solidFill>
              <w14:schemeClr w14:val="tx1"/>
            </w14:solidFill>
          </w14:textFill>
        </w:rPr>
        <w:t>以下原则：</w:t>
      </w:r>
    </w:p>
    <w:p w14:paraId="118DAC72">
      <w:pPr>
        <w:keepNext w:val="0"/>
        <w:keepLines w:val="0"/>
        <w:pageBreakBefore w:val="0"/>
        <w:numPr>
          <w:ilvl w:val="0"/>
          <w:numId w:val="0"/>
        </w:numPr>
        <w:kinsoku/>
        <w:wordWrap/>
        <w:overflowPunct/>
        <w:topLinePunct w:val="0"/>
        <w:bidi w:val="0"/>
        <w:spacing w:line="360" w:lineRule="auto"/>
        <w:ind w:left="0" w:leftChars="0" w:firstLine="480" w:firstLineChars="200"/>
        <w:jc w:val="left"/>
        <w:textAlignment w:val="auto"/>
        <w:rPr>
          <w:rFonts w:hint="eastAsia" w:ascii="宋体" w:hAnsi="宋体" w:eastAsia="宋体" w:cs="宋体"/>
          <w:b w:val="0"/>
          <w:bCs w:val="0"/>
          <w:i w:val="0"/>
          <w:strike w:val="0"/>
          <w:color w:val="000000" w:themeColor="text1"/>
          <w:sz w:val="24"/>
          <w:u w:val="none"/>
          <w14:textFill>
            <w14:solidFill>
              <w14:schemeClr w14:val="tx1"/>
            </w14:solidFill>
          </w14:textFill>
        </w:rPr>
      </w:pPr>
      <w:r>
        <w:rPr>
          <w:rFonts w:hint="default" w:ascii="宋体" w:hAnsi="宋体" w:eastAsia="宋体" w:cs="宋体"/>
          <w:b w:val="0"/>
          <w:bCs w:val="0"/>
          <w:i w:val="0"/>
          <w:strike w:val="0"/>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val="0"/>
          <w:i w:val="0"/>
          <w:strike w:val="0"/>
          <w:color w:val="000000" w:themeColor="text1"/>
          <w:sz w:val="24"/>
          <w:u w:val="none"/>
          <w14:textFill>
            <w14:solidFill>
              <w14:schemeClr w14:val="tx1"/>
            </w14:solidFill>
          </w14:textFill>
        </w:rPr>
        <w:t>安全性优先</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原则</w:t>
      </w:r>
      <w:r>
        <w:rPr>
          <w:rFonts w:hint="eastAsia" w:ascii="宋体" w:hAnsi="宋体" w:eastAsia="宋体" w:cs="宋体"/>
          <w:b w:val="0"/>
          <w:bCs w:val="0"/>
          <w:i w:val="0"/>
          <w:strike w:val="0"/>
          <w:color w:val="000000" w:themeColor="text1"/>
          <w:sz w:val="24"/>
          <w:u w:val="none"/>
          <w14:textFill>
            <w14:solidFill>
              <w14:schemeClr w14:val="tx1"/>
            </w14:solidFill>
          </w14:textFill>
        </w:rPr>
        <w:t>：以保障高空作业安全为核心目标。</w:t>
      </w:r>
    </w:p>
    <w:p w14:paraId="6AC1D83A">
      <w:pPr>
        <w:keepNext w:val="0"/>
        <w:keepLines w:val="0"/>
        <w:pageBreakBefore w:val="0"/>
        <w:numPr>
          <w:ilvl w:val="0"/>
          <w:numId w:val="0"/>
        </w:numPr>
        <w:kinsoku/>
        <w:wordWrap/>
        <w:overflowPunct/>
        <w:topLinePunct w:val="0"/>
        <w:bidi w:val="0"/>
        <w:spacing w:line="360" w:lineRule="auto"/>
        <w:ind w:left="0" w:leftChars="0" w:firstLine="480" w:firstLineChars="200"/>
        <w:jc w:val="left"/>
        <w:textAlignment w:val="auto"/>
        <w:rPr>
          <w:rFonts w:hint="eastAsia" w:ascii="宋体" w:hAnsi="宋体" w:eastAsia="宋体" w:cs="宋体"/>
          <w:b w:val="0"/>
          <w:bCs w:val="0"/>
          <w:i w:val="0"/>
          <w:strike w:val="0"/>
          <w:color w:val="000000" w:themeColor="text1"/>
          <w:sz w:val="24"/>
          <w:u w:val="none"/>
          <w14:textFill>
            <w14:solidFill>
              <w14:schemeClr w14:val="tx1"/>
            </w14:solidFill>
          </w14:textFill>
        </w:rPr>
      </w:pPr>
      <w:r>
        <w:rPr>
          <w:rFonts w:hint="default" w:ascii="宋体" w:hAnsi="宋体" w:eastAsia="宋体" w:cs="宋体"/>
          <w:b w:val="0"/>
          <w:bCs w:val="0"/>
          <w:i w:val="0"/>
          <w:strike w:val="0"/>
          <w:color w:val="000000" w:themeColor="text1"/>
          <w:kern w:val="2"/>
          <w:sz w:val="24"/>
          <w:szCs w:val="24"/>
          <w:lang w:val="en-US" w:eastAsia="zh-CN" w:bidi="ar-SA"/>
          <w14:textFill>
            <w14:solidFill>
              <w14:schemeClr w14:val="tx1"/>
            </w14:solidFill>
          </w14:textFill>
        </w:rPr>
        <w:t>2)</w:t>
      </w:r>
      <w:r>
        <w:rPr>
          <w:rFonts w:hint="eastAsia" w:ascii="宋体" w:hAnsi="宋体" w:eastAsia="宋体" w:cs="宋体"/>
          <w:b w:val="0"/>
          <w:bCs w:val="0"/>
          <w:i w:val="0"/>
          <w:strike w:val="0"/>
          <w:color w:val="000000" w:themeColor="text1"/>
          <w:sz w:val="24"/>
          <w:u w:val="none"/>
          <w14:textFill>
            <w14:solidFill>
              <w14:schemeClr w14:val="tx1"/>
            </w14:solidFill>
          </w14:textFill>
        </w:rPr>
        <w:t>科学性与可操作性</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原则</w:t>
      </w:r>
      <w:r>
        <w:rPr>
          <w:rFonts w:hint="eastAsia" w:ascii="宋体" w:hAnsi="宋体" w:eastAsia="宋体" w:cs="宋体"/>
          <w:b w:val="0"/>
          <w:bCs w:val="0"/>
          <w:i w:val="0"/>
          <w:strike w:val="0"/>
          <w:color w:val="000000" w:themeColor="text1"/>
          <w:sz w:val="24"/>
          <w:u w:val="none"/>
          <w14:textFill>
            <w14:solidFill>
              <w14:schemeClr w14:val="tx1"/>
            </w14:solidFill>
          </w14:textFill>
        </w:rPr>
        <w:t>：</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基于国内</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现有的相关</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标准</w:t>
      </w:r>
      <w:r>
        <w:rPr>
          <w:rFonts w:hint="eastAsia" w:ascii="宋体" w:hAnsi="宋体" w:eastAsia="宋体" w:cs="宋体"/>
          <w:b w:val="0"/>
          <w:bCs w:val="0"/>
          <w:i w:val="0"/>
          <w:strike w:val="0"/>
          <w:color w:val="000000" w:themeColor="text1"/>
          <w:sz w:val="24"/>
          <w:u w:val="none"/>
          <w14:textFill>
            <w14:solidFill>
              <w14:schemeClr w14:val="tx1"/>
            </w14:solidFill>
          </w14:textFill>
        </w:rPr>
        <w:t>，</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制定量化可执行的</w:t>
      </w:r>
      <w:r>
        <w:rPr>
          <w:rFonts w:hint="eastAsia" w:ascii="宋体" w:hAnsi="宋体" w:eastAsia="宋体" w:cs="宋体"/>
          <w:b w:val="0"/>
          <w:bCs w:val="0"/>
          <w:i w:val="0"/>
          <w:strike w:val="0"/>
          <w:color w:val="000000" w:themeColor="text1"/>
          <w:sz w:val="24"/>
          <w:u w:val="none"/>
          <w14:textFill>
            <w14:solidFill>
              <w14:schemeClr w14:val="tx1"/>
            </w14:solidFill>
          </w14:textFill>
        </w:rPr>
        <w:t>条款。</w:t>
      </w:r>
    </w:p>
    <w:p w14:paraId="3F9101D4">
      <w:pPr>
        <w:keepNext w:val="0"/>
        <w:keepLines w:val="0"/>
        <w:pageBreakBefore w:val="0"/>
        <w:numPr>
          <w:ilvl w:val="0"/>
          <w:numId w:val="0"/>
        </w:numPr>
        <w:kinsoku/>
        <w:wordWrap/>
        <w:overflowPunct/>
        <w:topLinePunct w:val="0"/>
        <w:bidi w:val="0"/>
        <w:spacing w:line="360" w:lineRule="auto"/>
        <w:ind w:left="0" w:leftChars="0" w:firstLine="480" w:firstLineChars="200"/>
        <w:jc w:val="left"/>
        <w:textAlignment w:val="auto"/>
        <w:rPr>
          <w:rFonts w:hint="eastAsia" w:ascii="宋体" w:hAnsi="宋体" w:eastAsia="宋体" w:cs="宋体"/>
          <w:b w:val="0"/>
          <w:bCs w:val="0"/>
          <w:i w:val="0"/>
          <w:strike w:val="0"/>
          <w:color w:val="000000" w:themeColor="text1"/>
          <w:sz w:val="24"/>
          <w:u w:val="none"/>
          <w14:textFill>
            <w14:solidFill>
              <w14:schemeClr w14:val="tx1"/>
            </w14:solidFill>
          </w14:textFill>
        </w:rPr>
      </w:pPr>
      <w:r>
        <w:rPr>
          <w:rFonts w:hint="default" w:ascii="宋体" w:hAnsi="宋体" w:eastAsia="宋体" w:cs="宋体"/>
          <w:b w:val="0"/>
          <w:bCs w:val="0"/>
          <w:i w:val="0"/>
          <w:strike w:val="0"/>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b w:val="0"/>
          <w:bCs w:val="0"/>
          <w:i w:val="0"/>
          <w:strike w:val="0"/>
          <w:color w:val="000000" w:themeColor="text1"/>
          <w:sz w:val="24"/>
          <w:u w:val="none"/>
          <w14:textFill>
            <w14:solidFill>
              <w14:schemeClr w14:val="tx1"/>
            </w14:solidFill>
          </w14:textFill>
        </w:rPr>
        <w:t>全面性与针对性</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原则</w:t>
      </w:r>
      <w:r>
        <w:rPr>
          <w:rFonts w:hint="eastAsia" w:ascii="宋体" w:hAnsi="宋体" w:eastAsia="宋体" w:cs="宋体"/>
          <w:b w:val="0"/>
          <w:bCs w:val="0"/>
          <w:i w:val="0"/>
          <w:strike w:val="0"/>
          <w:color w:val="000000" w:themeColor="text1"/>
          <w:sz w:val="24"/>
          <w:u w:val="none"/>
          <w14:textFill>
            <w14:solidFill>
              <w14:schemeClr w14:val="tx1"/>
            </w14:solidFill>
          </w14:textFill>
        </w:rPr>
        <w:t>：</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覆盖</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移动式升降工作平台</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主要</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零</w:t>
      </w:r>
      <w:r>
        <w:rPr>
          <w:rFonts w:hint="eastAsia" w:ascii="宋体" w:hAnsi="宋体" w:eastAsia="宋体" w:cs="宋体"/>
          <w:b w:val="0"/>
          <w:bCs w:val="0"/>
          <w:i w:val="0"/>
          <w:strike w:val="0"/>
          <w:color w:val="000000" w:themeColor="text1"/>
          <w:sz w:val="24"/>
          <w:u w:val="none"/>
          <w14:textFill>
            <w14:solidFill>
              <w14:schemeClr w14:val="tx1"/>
            </w14:solidFill>
          </w14:textFill>
        </w:rPr>
        <w:t>部件</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聚焦设备安全性</w:t>
      </w:r>
      <w:r>
        <w:rPr>
          <w:rFonts w:hint="eastAsia" w:ascii="宋体" w:hAnsi="宋体" w:eastAsia="宋体" w:cs="宋体"/>
          <w:b w:val="0"/>
          <w:bCs w:val="0"/>
          <w:i w:val="0"/>
          <w:strike w:val="0"/>
          <w:color w:val="000000" w:themeColor="text1"/>
          <w:sz w:val="24"/>
          <w:u w:val="none"/>
          <w14:textFill>
            <w14:solidFill>
              <w14:schemeClr w14:val="tx1"/>
            </w14:solidFill>
          </w14:textFill>
        </w:rPr>
        <w:t>，避免标准范围过大导致执行困难。</w:t>
      </w:r>
    </w:p>
    <w:p w14:paraId="22BCD573">
      <w:pPr>
        <w:keepNext w:val="0"/>
        <w:keepLines w:val="0"/>
        <w:pageBreakBefore w:val="0"/>
        <w:numPr>
          <w:ilvl w:val="-1"/>
          <w:numId w:val="0"/>
        </w:numPr>
        <w:kinsoku/>
        <w:wordWrap/>
        <w:overflowPunct/>
        <w:topLinePunct w:val="0"/>
        <w:bidi w:val="0"/>
        <w:adjustRightInd/>
        <w:snapToGrid/>
        <w:spacing w:line="360" w:lineRule="auto"/>
        <w:ind w:left="0" w:firstLine="480" w:firstLineChars="200"/>
        <w:jc w:val="left"/>
        <w:textAlignment w:val="auto"/>
        <w:rPr>
          <w:rFonts w:hint="eastAsia" w:hAnsi="宋体"/>
          <w:b w:val="0"/>
          <w:bCs w:val="0"/>
          <w:color w:val="000000" w:themeColor="text1"/>
          <w:sz w:val="24"/>
          <w:szCs w:val="24"/>
          <w:highlight w:val="none"/>
          <w14:textFill>
            <w14:solidFill>
              <w14:schemeClr w14:val="tx1"/>
            </w14:solidFill>
          </w14:textFill>
        </w:rPr>
      </w:pPr>
      <w:r>
        <w:rPr>
          <w:rFonts w:hint="eastAsia" w:ascii="宋体" w:hAnsi="宋体" w:cs="宋体"/>
          <w:b w:val="0"/>
          <w:bCs w:val="0"/>
          <w:i w:val="0"/>
          <w:strike w:val="0"/>
          <w:color w:val="000000" w:themeColor="text1"/>
          <w:sz w:val="24"/>
          <w:u w:val="none"/>
          <w:lang w:val="en-US" w:eastAsia="zh-CN"/>
          <w14:textFill>
            <w14:solidFill>
              <w14:schemeClr w14:val="tx1"/>
            </w14:solidFill>
          </w14:textFill>
        </w:rPr>
        <w:t>4</w:t>
      </w:r>
      <w:r>
        <w:rPr>
          <w:rFonts w:hint="eastAsia" w:ascii="宋体" w:hAnsi="宋体" w:cs="宋体"/>
          <w:b w:val="0"/>
          <w:bCs w:val="0"/>
          <w:i w:val="0"/>
          <w:strike w:val="0"/>
          <w:color w:val="000000" w:themeColor="text1"/>
          <w:sz w:val="24"/>
          <w:u w:val="none"/>
          <w:lang w:eastAsia="zh-CN"/>
          <w14:textFill>
            <w14:solidFill>
              <w14:schemeClr w14:val="tx1"/>
            </w14:solidFill>
          </w14:textFill>
        </w:rPr>
        <w:t>）</w:t>
      </w:r>
      <w:r>
        <w:rPr>
          <w:rFonts w:hint="eastAsia" w:ascii="宋体" w:hAnsi="宋体" w:eastAsia="宋体" w:cs="宋体"/>
          <w:b w:val="0"/>
          <w:bCs w:val="0"/>
          <w:i w:val="0"/>
          <w:strike w:val="0"/>
          <w:color w:val="000000" w:themeColor="text1"/>
          <w:sz w:val="24"/>
          <w:u w:val="none"/>
          <w14:textFill>
            <w14:solidFill>
              <w14:schemeClr w14:val="tx1"/>
            </w14:solidFill>
          </w14:textFill>
        </w:rPr>
        <w:t>经济性与合理性：</w:t>
      </w:r>
      <w:r>
        <w:rPr>
          <w:rFonts w:hint="eastAsia" w:ascii="宋体" w:hAnsi="宋体" w:eastAsia="宋体" w:cs="宋体"/>
          <w:b w:val="0"/>
          <w:bCs w:val="0"/>
          <w:i w:val="0"/>
          <w:strike w:val="0"/>
          <w:color w:val="000000" w:themeColor="text1"/>
          <w:sz w:val="24"/>
          <w:u w:val="none"/>
          <w:lang w:eastAsia="zh-CN"/>
          <w14:textFill>
            <w14:solidFill>
              <w14:schemeClr w14:val="tx1"/>
            </w14:solidFill>
          </w14:textFill>
        </w:rPr>
        <w:t>引导企</w:t>
      </w:r>
      <w:r>
        <w:rPr>
          <w:rFonts w:hint="eastAsia" w:ascii="宋体" w:hAnsi="宋体" w:eastAsia="宋体" w:cs="宋体"/>
          <w:b w:val="0"/>
          <w:bCs w:val="0"/>
          <w:i w:val="0"/>
          <w:strike w:val="0"/>
          <w:color w:val="000000" w:themeColor="text1"/>
          <w:sz w:val="24"/>
          <w:u w:val="none"/>
          <w14:textFill>
            <w14:solidFill>
              <w14:schemeClr w14:val="tx1"/>
            </w14:solidFill>
          </w14:textFill>
        </w:rPr>
        <w:t>业平衡安全</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风险</w:t>
      </w:r>
      <w:r>
        <w:rPr>
          <w:rFonts w:hint="eastAsia" w:ascii="宋体" w:hAnsi="宋体" w:eastAsia="宋体" w:cs="宋体"/>
          <w:b w:val="0"/>
          <w:bCs w:val="0"/>
          <w:i w:val="0"/>
          <w:strike w:val="0"/>
          <w:color w:val="000000" w:themeColor="text1"/>
          <w:sz w:val="24"/>
          <w:u w:val="none"/>
          <w14:textFill>
            <w14:solidFill>
              <w14:schemeClr w14:val="tx1"/>
            </w14:solidFill>
          </w14:textFill>
        </w:rPr>
        <w:t>与经济成本，实现设备全生命周期的合理</w:t>
      </w:r>
      <w:r>
        <w:rPr>
          <w:rFonts w:hint="eastAsia" w:ascii="宋体" w:hAnsi="宋体" w:cs="宋体"/>
          <w:b w:val="0"/>
          <w:bCs w:val="0"/>
          <w:i w:val="0"/>
          <w:strike w:val="0"/>
          <w:color w:val="000000" w:themeColor="text1"/>
          <w:sz w:val="24"/>
          <w:u w:val="none"/>
          <w:lang w:val="en-US" w:eastAsia="zh-CN"/>
          <w14:textFill>
            <w14:solidFill>
              <w14:schemeClr w14:val="tx1"/>
            </w14:solidFill>
          </w14:textFill>
        </w:rPr>
        <w:t>化</w:t>
      </w:r>
      <w:r>
        <w:rPr>
          <w:rFonts w:hint="eastAsia" w:ascii="宋体" w:hAnsi="宋体" w:eastAsia="宋体" w:cs="宋体"/>
          <w:b w:val="0"/>
          <w:bCs w:val="0"/>
          <w:i w:val="0"/>
          <w:strike w:val="0"/>
          <w:color w:val="000000" w:themeColor="text1"/>
          <w:sz w:val="24"/>
          <w:u w:val="none"/>
          <w14:textFill>
            <w14:solidFill>
              <w14:schemeClr w14:val="tx1"/>
            </w14:solidFill>
          </w14:textFill>
        </w:rPr>
        <w:t>管理。</w:t>
      </w:r>
    </w:p>
    <w:p w14:paraId="01485C3F">
      <w:pPr>
        <w:pStyle w:val="4"/>
        <w:keepNext w:val="0"/>
        <w:keepLines w:val="0"/>
        <w:pageBreakBefore w:val="0"/>
        <w:numPr>
          <w:ilvl w:val="0"/>
          <w:numId w:val="2"/>
        </w:numPr>
        <w:kinsoku/>
        <w:wordWrap/>
        <w:overflowPunct/>
        <w:topLinePunct w:val="0"/>
        <w:bidi w:val="0"/>
        <w:adjustRightInd/>
        <w:snapToGrid/>
        <w:spacing w:line="360" w:lineRule="auto"/>
        <w:textAlignment w:val="auto"/>
        <w:rPr>
          <w:rFonts w:hint="eastAsia" w:hAnsi="宋体"/>
          <w:sz w:val="24"/>
          <w:szCs w:val="24"/>
          <w:highlight w:val="none"/>
          <w:lang w:val="en-US" w:eastAsia="zh-CN"/>
        </w:rPr>
      </w:pPr>
      <w:r>
        <w:rPr>
          <w:rFonts w:hint="eastAsia" w:hAnsi="宋体"/>
          <w:sz w:val="24"/>
          <w:szCs w:val="24"/>
          <w:highlight w:val="none"/>
          <w:lang w:val="en-US" w:eastAsia="zh-CN"/>
        </w:rPr>
        <w:t>主要内容</w:t>
      </w:r>
    </w:p>
    <w:p w14:paraId="25A1999C">
      <w:pPr>
        <w:pStyle w:val="19"/>
        <w:widowControl/>
        <w:numPr>
          <w:ilvl w:val="0"/>
          <w:numId w:val="3"/>
        </w:numPr>
        <w:adjustRightInd w:val="0"/>
        <w:snapToGrid w:val="0"/>
        <w:spacing w:line="348" w:lineRule="auto"/>
        <w:ind w:left="745" w:leftChars="202" w:hanging="321" w:hangingChars="134"/>
        <w:jc w:val="left"/>
        <w:rPr>
          <w:rFonts w:ascii="宋体" w:hAnsi="宋体" w:eastAsia="宋体"/>
          <w:kern w:val="0"/>
          <w:sz w:val="24"/>
          <w:szCs w:val="24"/>
        </w:rPr>
      </w:pPr>
      <w:r>
        <w:rPr>
          <w:rFonts w:hint="eastAsia" w:ascii="宋体" w:hAnsi="宋体" w:eastAsia="宋体"/>
          <w:kern w:val="0"/>
          <w:sz w:val="24"/>
          <w:szCs w:val="24"/>
        </w:rPr>
        <w:t>范围：</w:t>
      </w:r>
      <w:bookmarkStart w:id="2" w:name="OLE_LINK14"/>
      <w:bookmarkStart w:id="3" w:name="OLE_LINK15"/>
      <w:r>
        <w:rPr>
          <w:rFonts w:hint="eastAsia" w:ascii="宋体" w:hAnsi="宋体" w:eastAsia="宋体"/>
          <w:kern w:val="0"/>
          <w:sz w:val="24"/>
          <w:szCs w:val="24"/>
        </w:rPr>
        <w:t>本文件规定了</w:t>
      </w:r>
      <w:r>
        <w:rPr>
          <w:rFonts w:hint="eastAsia" w:ascii="宋体" w:hAnsi="宋体" w:eastAsia="宋体"/>
          <w:kern w:val="0"/>
          <w:sz w:val="24"/>
          <w:szCs w:val="24"/>
          <w:lang w:val="en-US" w:eastAsia="zh-CN"/>
        </w:rPr>
        <w:t>J</w:t>
      </w:r>
      <w:r>
        <w:rPr>
          <w:rFonts w:hint="eastAsia" w:ascii="宋体" w:hAnsi="宋体" w:eastAsia="宋体"/>
          <w:kern w:val="0"/>
          <w:sz w:val="24"/>
          <w:szCs w:val="24"/>
        </w:rPr>
        <w:t>B</w:t>
      </w:r>
      <w:r>
        <w:rPr>
          <w:rFonts w:hint="eastAsia" w:ascii="宋体" w:hAnsi="宋体" w:eastAsia="宋体"/>
          <w:kern w:val="0"/>
          <w:sz w:val="24"/>
          <w:szCs w:val="24"/>
          <w:lang w:val="en-US" w:eastAsia="zh-CN"/>
        </w:rPr>
        <w:t>/T</w:t>
      </w:r>
      <w:r>
        <w:rPr>
          <w:rFonts w:hint="eastAsia" w:ascii="宋体" w:hAnsi="宋体" w:eastAsia="宋体"/>
          <w:kern w:val="0"/>
          <w:sz w:val="24"/>
          <w:szCs w:val="24"/>
        </w:rPr>
        <w:t xml:space="preserve"> </w:t>
      </w:r>
      <w:r>
        <w:rPr>
          <w:rFonts w:hint="eastAsia" w:ascii="宋体" w:hAnsi="宋体" w:eastAsia="宋体"/>
          <w:kern w:val="0"/>
          <w:sz w:val="24"/>
          <w:szCs w:val="24"/>
          <w:lang w:val="en-US" w:eastAsia="zh-CN"/>
        </w:rPr>
        <w:t>12786定义的移动式</w:t>
      </w:r>
      <w:r>
        <w:rPr>
          <w:rFonts w:hint="eastAsia" w:ascii="宋体" w:hAnsi="宋体" w:eastAsia="宋体"/>
          <w:kern w:val="0"/>
          <w:sz w:val="24"/>
          <w:szCs w:val="24"/>
        </w:rPr>
        <w:t>升降工作平台</w:t>
      </w:r>
      <w:r>
        <w:rPr>
          <w:rFonts w:hint="eastAsia" w:ascii="宋体" w:hAnsi="宋体" w:eastAsia="宋体"/>
          <w:kern w:val="0"/>
          <w:sz w:val="24"/>
          <w:szCs w:val="24"/>
          <w:lang w:val="en-US" w:eastAsia="zh-CN"/>
        </w:rPr>
        <w:t>主要零部件</w:t>
      </w:r>
      <w:r>
        <w:rPr>
          <w:rFonts w:hint="eastAsia" w:ascii="宋体" w:hAnsi="宋体" w:eastAsia="宋体"/>
          <w:kern w:val="0"/>
          <w:sz w:val="24"/>
          <w:szCs w:val="24"/>
          <w:lang w:eastAsia="zh-CN"/>
        </w:rPr>
        <w:t>报废</w:t>
      </w:r>
      <w:r>
        <w:rPr>
          <w:rFonts w:hint="eastAsia" w:ascii="宋体" w:hAnsi="宋体" w:eastAsia="宋体"/>
          <w:kern w:val="0"/>
          <w:sz w:val="24"/>
          <w:szCs w:val="24"/>
          <w:lang w:val="en-US" w:eastAsia="zh-CN"/>
        </w:rPr>
        <w:t>条</w:t>
      </w:r>
    </w:p>
    <w:p w14:paraId="1E3AC241">
      <w:pPr>
        <w:pStyle w:val="19"/>
        <w:widowControl/>
        <w:numPr>
          <w:ilvl w:val="0"/>
          <w:numId w:val="0"/>
        </w:numPr>
        <w:adjustRightInd w:val="0"/>
        <w:snapToGrid w:val="0"/>
        <w:spacing w:line="348" w:lineRule="auto"/>
        <w:ind w:left="0" w:leftChars="0" w:firstLine="0" w:firstLineChars="0"/>
        <w:jc w:val="left"/>
        <w:rPr>
          <w:rFonts w:hint="eastAsia" w:ascii="宋体" w:hAnsi="宋体" w:eastAsia="宋体"/>
          <w:sz w:val="24"/>
          <w:szCs w:val="24"/>
        </w:rPr>
      </w:pPr>
      <w:r>
        <w:rPr>
          <w:rFonts w:hint="eastAsia" w:ascii="宋体" w:hAnsi="宋体" w:eastAsia="宋体"/>
          <w:kern w:val="0"/>
          <w:sz w:val="24"/>
          <w:szCs w:val="24"/>
          <w:lang w:val="en-US" w:eastAsia="zh-CN"/>
        </w:rPr>
        <w:t>件，主要零部件包括结构部件、液压部件、电气部件、动力部件及其他部件。</w:t>
      </w:r>
      <w:bookmarkEnd w:id="2"/>
      <w:bookmarkEnd w:id="3"/>
    </w:p>
    <w:p w14:paraId="7E9D4960">
      <w:pPr>
        <w:pStyle w:val="19"/>
        <w:widowControl/>
        <w:numPr>
          <w:ilvl w:val="0"/>
          <w:numId w:val="0"/>
        </w:numPr>
        <w:adjustRightInd w:val="0"/>
        <w:snapToGrid w:val="0"/>
        <w:spacing w:line="348" w:lineRule="auto"/>
        <w:ind w:left="0" w:leftChars="0" w:firstLine="480" w:firstLineChars="200"/>
        <w:jc w:val="left"/>
        <w:rPr>
          <w:rFonts w:ascii="宋体" w:hAnsi="宋体" w:eastAsia="宋体"/>
          <w:sz w:val="24"/>
          <w:szCs w:val="24"/>
        </w:rPr>
      </w:pPr>
      <w:r>
        <w:rPr>
          <w:rFonts w:hint="eastAsia" w:ascii="宋体" w:hAnsi="宋体" w:eastAsia="宋体"/>
          <w:sz w:val="24"/>
          <w:szCs w:val="24"/>
        </w:rPr>
        <w:t>2）规范性引用文件。</w:t>
      </w:r>
    </w:p>
    <w:p w14:paraId="33B7616E">
      <w:pPr>
        <w:pStyle w:val="19"/>
        <w:spacing w:line="348" w:lineRule="auto"/>
        <w:ind w:left="0" w:leftChars="0" w:firstLine="480" w:firstLineChars="200"/>
        <w:rPr>
          <w:rFonts w:ascii="宋体" w:hAnsi="宋体" w:eastAsia="宋体"/>
          <w:sz w:val="24"/>
          <w:szCs w:val="24"/>
        </w:rPr>
      </w:pPr>
      <w:r>
        <w:rPr>
          <w:rFonts w:hint="eastAsia" w:ascii="宋体" w:hAnsi="宋体" w:eastAsia="宋体"/>
          <w:sz w:val="24"/>
          <w:szCs w:val="24"/>
        </w:rPr>
        <w:t>3）术语和定义：GB</w:t>
      </w:r>
      <w:r>
        <w:rPr>
          <w:rFonts w:hint="eastAsia" w:ascii="宋体" w:hAnsi="宋体" w:eastAsia="宋体"/>
          <w:sz w:val="24"/>
          <w:szCs w:val="24"/>
          <w:lang w:val="en-US" w:eastAsia="zh-CN"/>
        </w:rPr>
        <w:t>/T</w:t>
      </w:r>
      <w:r>
        <w:rPr>
          <w:rFonts w:hint="eastAsia" w:ascii="宋体" w:hAnsi="宋体" w:eastAsia="宋体"/>
          <w:sz w:val="24"/>
          <w:szCs w:val="24"/>
        </w:rPr>
        <w:t xml:space="preserve"> 25849</w:t>
      </w:r>
      <w:r>
        <w:rPr>
          <w:rFonts w:hint="eastAsia" w:ascii="宋体" w:hAnsi="宋体" w:eastAsia="宋体"/>
          <w:sz w:val="24"/>
          <w:szCs w:val="24"/>
          <w:lang w:val="en-US" w:eastAsia="zh-CN"/>
        </w:rPr>
        <w:t xml:space="preserve"> 界定的</w:t>
      </w:r>
      <w:r>
        <w:rPr>
          <w:rFonts w:hint="eastAsia" w:ascii="宋体" w:hAnsi="宋体" w:eastAsia="宋体"/>
          <w:sz w:val="24"/>
          <w:szCs w:val="24"/>
        </w:rPr>
        <w:t>术语和定义适用于本</w:t>
      </w:r>
      <w:r>
        <w:rPr>
          <w:rFonts w:hint="eastAsia" w:ascii="宋体" w:hAnsi="宋体" w:eastAsia="宋体"/>
          <w:sz w:val="24"/>
          <w:szCs w:val="24"/>
          <w:lang w:val="en-US" w:eastAsia="zh-CN"/>
        </w:rPr>
        <w:t>文件</w:t>
      </w:r>
      <w:r>
        <w:rPr>
          <w:rFonts w:hint="eastAsia" w:ascii="宋体" w:hAnsi="宋体" w:eastAsia="宋体"/>
          <w:sz w:val="24"/>
          <w:szCs w:val="24"/>
        </w:rPr>
        <w:t>。</w:t>
      </w:r>
    </w:p>
    <w:p w14:paraId="31D7A010">
      <w:pPr>
        <w:pStyle w:val="19"/>
        <w:keepNext w:val="0"/>
        <w:keepLines w:val="0"/>
        <w:pageBreakBefore w:val="0"/>
        <w:kinsoku/>
        <w:wordWrap/>
        <w:overflowPunct/>
        <w:topLinePunct w:val="0"/>
        <w:bidi w:val="0"/>
        <w:adjustRightInd/>
        <w:snapToGrid/>
        <w:spacing w:line="348" w:lineRule="auto"/>
        <w:ind w:left="0" w:leftChars="0" w:firstLine="480" w:firstLineChars="200"/>
        <w:textAlignment w:val="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）报废条件：包括总则、主要零部件</w:t>
      </w:r>
      <w:r>
        <w:rPr>
          <w:rFonts w:hint="eastAsia" w:ascii="宋体" w:hAnsi="宋体"/>
          <w:sz w:val="24"/>
          <w:szCs w:val="24"/>
          <w:lang w:val="en-US" w:eastAsia="zh-CN"/>
        </w:rPr>
        <w:t>的报废条件</w:t>
      </w:r>
      <w:r>
        <w:rPr>
          <w:rFonts w:hint="eastAsia" w:ascii="宋体" w:hAnsi="宋体" w:eastAsia="宋体"/>
          <w:sz w:val="24"/>
          <w:szCs w:val="24"/>
        </w:rPr>
        <w:t>，其中主要零部件包括</w:t>
      </w:r>
      <w:r>
        <w:rPr>
          <w:rFonts w:hint="eastAsia" w:ascii="宋体" w:hAnsi="宋体" w:eastAsia="宋体"/>
          <w:sz w:val="24"/>
          <w:szCs w:val="24"/>
          <w:lang w:val="en-US" w:eastAsia="zh-CN"/>
        </w:rPr>
        <w:t>臂架、转台、车架、稳定器</w:t>
      </w:r>
      <w:r>
        <w:rPr>
          <w:rFonts w:hint="eastAsia" w:ascii="宋体" w:hAnsi="宋体"/>
          <w:sz w:val="24"/>
          <w:szCs w:val="24"/>
          <w:lang w:val="en-US" w:eastAsia="zh-CN"/>
        </w:rPr>
        <w:t>、工作平台、回转机构、液压缸、液压阀、液压管路、控制器、传感器、电机、电池、发动机、减速器、轮胎、钢丝绳</w:t>
      </w:r>
      <w:r>
        <w:rPr>
          <w:rFonts w:hint="eastAsia" w:ascii="宋体" w:hAnsi="宋体" w:eastAsia="宋体"/>
          <w:sz w:val="24"/>
          <w:szCs w:val="24"/>
        </w:rPr>
        <w:t>等。</w:t>
      </w:r>
    </w:p>
    <w:p w14:paraId="7DC65D07">
      <w:pPr>
        <w:pStyle w:val="19"/>
        <w:keepNext w:val="0"/>
        <w:keepLines w:val="0"/>
        <w:pageBreakBefore w:val="0"/>
        <w:kinsoku/>
        <w:wordWrap/>
        <w:overflowPunct/>
        <w:topLinePunct w:val="0"/>
        <w:bidi w:val="0"/>
        <w:adjustRightInd/>
        <w:snapToGrid/>
        <w:spacing w:line="348" w:lineRule="auto"/>
        <w:ind w:left="0" w:leftChars="0" w:firstLine="480" w:firstLineChars="200"/>
        <w:textAlignment w:val="auto"/>
        <w:rPr>
          <w:rFonts w:hint="eastAsia" w:hAnsi="宋体"/>
          <w:sz w:val="24"/>
          <w:szCs w:val="24"/>
          <w:highlight w:val="none"/>
          <w:lang w:val="en-US" w:eastAsia="zh-CN"/>
        </w:rPr>
      </w:pPr>
      <w:r>
        <w:rPr>
          <w:rFonts w:ascii="宋体" w:hAnsi="宋体" w:eastAsia="宋体"/>
          <w:sz w:val="24"/>
          <w:szCs w:val="24"/>
        </w:rPr>
        <w:t>5</w:t>
      </w:r>
      <w:r>
        <w:rPr>
          <w:rFonts w:hint="eastAsia" w:ascii="宋体" w:hAnsi="宋体" w:eastAsia="宋体"/>
          <w:sz w:val="24"/>
          <w:szCs w:val="24"/>
        </w:rPr>
        <w:t>）记录。</w:t>
      </w:r>
    </w:p>
    <w:p w14:paraId="5DADE746">
      <w:pPr>
        <w:pStyle w:val="4"/>
        <w:keepNext w:val="0"/>
        <w:keepLines w:val="0"/>
        <w:pageBreakBefore w:val="0"/>
        <w:kinsoku/>
        <w:wordWrap/>
        <w:overflowPunct/>
        <w:topLinePunct w:val="0"/>
        <w:bidi w:val="0"/>
        <w:adjustRightInd/>
        <w:snapToGrid/>
        <w:spacing w:line="360" w:lineRule="auto"/>
        <w:textAlignment w:val="auto"/>
        <w:rPr>
          <w:rFonts w:ascii="黑体" w:hAnsi="宋体" w:eastAsia="黑体"/>
          <w:bCs/>
          <w:sz w:val="24"/>
          <w:szCs w:val="24"/>
          <w:highlight w:val="none"/>
        </w:rPr>
      </w:pPr>
      <w:r>
        <w:rPr>
          <w:rFonts w:hint="eastAsia" w:ascii="黑体" w:hAnsi="宋体" w:eastAsia="黑体"/>
          <w:bCs/>
          <w:sz w:val="24"/>
          <w:szCs w:val="24"/>
          <w:highlight w:val="none"/>
          <w:lang w:val="en-US" w:eastAsia="zh-CN"/>
        </w:rPr>
        <w:t>三、</w:t>
      </w:r>
      <w:r>
        <w:rPr>
          <w:rFonts w:hint="eastAsia" w:ascii="黑体" w:hAnsi="宋体" w:eastAsia="黑体"/>
          <w:bCs/>
          <w:sz w:val="24"/>
          <w:szCs w:val="24"/>
          <w:highlight w:val="none"/>
        </w:rPr>
        <w:t xml:space="preserve"> 主要试验或验证情况</w:t>
      </w:r>
    </w:p>
    <w:p w14:paraId="75C4F2F3">
      <w:pPr>
        <w:pStyle w:val="19"/>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b w:val="0"/>
          <w:i w:val="0"/>
          <w:strike w:val="0"/>
          <w:color w:val="auto"/>
          <w:kern w:val="2"/>
          <w:sz w:val="24"/>
          <w:szCs w:val="22"/>
          <w:u w:val="none"/>
          <w:lang w:val="en-US" w:eastAsia="zh-CN" w:bidi="ar-SA"/>
        </w:rPr>
      </w:pPr>
      <w:r>
        <w:rPr>
          <w:rFonts w:hint="eastAsia" w:ascii="宋体" w:hAnsi="宋体" w:eastAsia="宋体" w:cs="宋体"/>
          <w:b w:val="0"/>
          <w:i w:val="0"/>
          <w:strike w:val="0"/>
          <w:color w:val="auto"/>
          <w:kern w:val="2"/>
          <w:sz w:val="24"/>
          <w:szCs w:val="22"/>
          <w:u w:val="none"/>
          <w:lang w:val="en-US" w:eastAsia="zh-CN" w:bidi="ar-SA"/>
        </w:rPr>
        <w:t>为全面掌握</w:t>
      </w:r>
      <w:r>
        <w:rPr>
          <w:rFonts w:hint="eastAsia" w:ascii="宋体" w:hAnsi="宋体" w:cs="宋体"/>
          <w:b w:val="0"/>
          <w:i w:val="0"/>
          <w:strike w:val="0"/>
          <w:color w:val="auto"/>
          <w:kern w:val="2"/>
          <w:sz w:val="24"/>
          <w:szCs w:val="22"/>
          <w:u w:val="none"/>
          <w:lang w:val="en-US" w:eastAsia="zh-CN" w:bidi="ar-SA"/>
        </w:rPr>
        <w:t>移动式升降工作平台</w:t>
      </w:r>
      <w:r>
        <w:rPr>
          <w:rFonts w:hint="eastAsia" w:ascii="宋体" w:hAnsi="宋体" w:eastAsia="宋体" w:cs="宋体"/>
          <w:b w:val="0"/>
          <w:i w:val="0"/>
          <w:strike w:val="0"/>
          <w:color w:val="auto"/>
          <w:kern w:val="2"/>
          <w:sz w:val="24"/>
          <w:szCs w:val="22"/>
          <w:u w:val="none"/>
          <w:lang w:val="en-US" w:eastAsia="zh-CN" w:bidi="ar-SA"/>
        </w:rPr>
        <w:t>的实际运行状态，科学评估其保养水平、部件损耗规律及安全风险，同时验证</w:t>
      </w:r>
      <w:r>
        <w:rPr>
          <w:rFonts w:hint="eastAsia" w:ascii="宋体" w:hAnsi="宋体" w:cs="宋体"/>
          <w:b w:val="0"/>
          <w:i w:val="0"/>
          <w:strike w:val="0"/>
          <w:color w:val="auto"/>
          <w:kern w:val="2"/>
          <w:sz w:val="24"/>
          <w:szCs w:val="22"/>
          <w:u w:val="none"/>
          <w:lang w:val="en-US" w:eastAsia="zh-CN" w:bidi="ar-SA"/>
        </w:rPr>
        <w:t>本</w:t>
      </w:r>
      <w:r>
        <w:rPr>
          <w:rFonts w:hint="eastAsia" w:ascii="宋体" w:hAnsi="宋体" w:eastAsia="宋体" w:cs="宋体"/>
          <w:b w:val="0"/>
          <w:i w:val="0"/>
          <w:strike w:val="0"/>
          <w:color w:val="auto"/>
          <w:kern w:val="2"/>
          <w:sz w:val="24"/>
          <w:szCs w:val="22"/>
          <w:u w:val="none"/>
          <w:lang w:val="en-US" w:eastAsia="zh-CN" w:bidi="ar-SA"/>
        </w:rPr>
        <w:t>标准的合理性与适用性，</w:t>
      </w:r>
      <w:r>
        <w:rPr>
          <w:rFonts w:hint="eastAsia" w:ascii="宋体" w:hAnsi="宋体" w:cs="宋体"/>
          <w:b w:val="0"/>
          <w:i w:val="0"/>
          <w:strike w:val="0"/>
          <w:color w:val="auto"/>
          <w:kern w:val="2"/>
          <w:sz w:val="24"/>
          <w:szCs w:val="22"/>
          <w:u w:val="none"/>
          <w:lang w:val="en-US" w:eastAsia="zh-CN" w:bidi="ar-SA"/>
        </w:rPr>
        <w:t>工作组</w:t>
      </w:r>
      <w:r>
        <w:rPr>
          <w:rFonts w:hint="eastAsia" w:ascii="宋体" w:hAnsi="宋体" w:eastAsia="宋体" w:cs="宋体"/>
          <w:b w:val="0"/>
          <w:i w:val="0"/>
          <w:strike w:val="0"/>
          <w:color w:val="auto"/>
          <w:kern w:val="2"/>
          <w:sz w:val="24"/>
          <w:szCs w:val="22"/>
          <w:u w:val="none"/>
          <w:lang w:val="en-US" w:eastAsia="zh-CN" w:bidi="ar-SA"/>
        </w:rPr>
        <w:t>开展了系统性的</w:t>
      </w:r>
      <w:r>
        <w:rPr>
          <w:rFonts w:hint="eastAsia" w:ascii="宋体" w:hAnsi="宋体" w:cs="宋体"/>
          <w:b w:val="0"/>
          <w:i w:val="0"/>
          <w:strike w:val="0"/>
          <w:color w:val="auto"/>
          <w:kern w:val="2"/>
          <w:sz w:val="24"/>
          <w:szCs w:val="22"/>
          <w:u w:val="none"/>
          <w:lang w:val="en-US" w:eastAsia="zh-CN" w:bidi="ar-SA"/>
        </w:rPr>
        <w:t>设备</w:t>
      </w:r>
      <w:r>
        <w:rPr>
          <w:rFonts w:hint="eastAsia" w:ascii="宋体" w:hAnsi="宋体" w:eastAsia="宋体" w:cs="宋体"/>
          <w:b w:val="0"/>
          <w:i w:val="0"/>
          <w:strike w:val="0"/>
          <w:color w:val="auto"/>
          <w:kern w:val="2"/>
          <w:sz w:val="24"/>
          <w:szCs w:val="22"/>
          <w:u w:val="none"/>
          <w:lang w:val="en-US" w:eastAsia="zh-CN" w:bidi="ar-SA"/>
        </w:rPr>
        <w:t>走访调研与专项检测工作。调研中对运行稳定性、功能完整性、外观及结构损伤等维度进行全方位记录。​</w:t>
      </w:r>
    </w:p>
    <w:p w14:paraId="03E090C9">
      <w:pPr>
        <w:pStyle w:val="19"/>
        <w:spacing w:line="360" w:lineRule="auto"/>
        <w:ind w:firstLine="480" w:firstLineChars="200"/>
        <w:jc w:val="left"/>
        <w:rPr>
          <w:rFonts w:hint="eastAsia" w:hAnsi="宋体" w:eastAsia="宋体"/>
          <w:bCs/>
          <w:sz w:val="24"/>
          <w:szCs w:val="24"/>
          <w:highlight w:val="none"/>
          <w:lang w:val="en-US" w:eastAsia="zh-CN"/>
        </w:rPr>
      </w:pPr>
      <w:r>
        <w:rPr>
          <w:rFonts w:hint="eastAsia" w:ascii="宋体" w:hAnsi="宋体" w:eastAsia="宋体" w:cs="宋体"/>
          <w:b w:val="0"/>
          <w:i w:val="0"/>
          <w:strike w:val="0"/>
          <w:color w:val="auto"/>
          <w:kern w:val="2"/>
          <w:sz w:val="24"/>
          <w:szCs w:val="22"/>
          <w:u w:val="none"/>
          <w:lang w:val="en-US" w:eastAsia="zh-CN" w:bidi="ar-SA"/>
        </w:rPr>
        <w:t>基于采集到的数据，运用统计学方法进行量化分析，清晰呈现不同使用年限下各</w:t>
      </w:r>
      <w:r>
        <w:rPr>
          <w:rFonts w:hint="eastAsia" w:ascii="宋体" w:hAnsi="宋体" w:cs="宋体"/>
          <w:b w:val="0"/>
          <w:i w:val="0"/>
          <w:strike w:val="0"/>
          <w:color w:val="auto"/>
          <w:kern w:val="2"/>
          <w:sz w:val="24"/>
          <w:szCs w:val="22"/>
          <w:u w:val="none"/>
          <w:lang w:val="en-US" w:eastAsia="zh-CN" w:bidi="ar-SA"/>
        </w:rPr>
        <w:t>主要零</w:t>
      </w:r>
      <w:r>
        <w:rPr>
          <w:rFonts w:hint="eastAsia" w:ascii="宋体" w:hAnsi="宋体" w:eastAsia="宋体" w:cs="宋体"/>
          <w:b w:val="0"/>
          <w:i w:val="0"/>
          <w:strike w:val="0"/>
          <w:color w:val="auto"/>
          <w:kern w:val="2"/>
          <w:sz w:val="24"/>
          <w:szCs w:val="22"/>
          <w:u w:val="none"/>
          <w:lang w:val="en-US" w:eastAsia="zh-CN" w:bidi="ar-SA"/>
        </w:rPr>
        <w:t>部件的损耗速率、损耗程度与损耗规律。同时，通过数据对比与关联分析，</w:t>
      </w:r>
      <w:r>
        <w:rPr>
          <w:rFonts w:hint="eastAsia" w:ascii="宋体" w:hAnsi="宋体" w:cs="宋体"/>
          <w:b w:val="0"/>
          <w:i w:val="0"/>
          <w:strike w:val="0"/>
          <w:color w:val="auto"/>
          <w:kern w:val="2"/>
          <w:sz w:val="24"/>
          <w:szCs w:val="22"/>
          <w:u w:val="none"/>
          <w:lang w:val="en-US" w:eastAsia="zh-CN" w:bidi="ar-SA"/>
        </w:rPr>
        <w:t>结合</w:t>
      </w:r>
      <w:r>
        <w:rPr>
          <w:rFonts w:hint="eastAsia" w:ascii="宋体" w:hAnsi="宋体" w:eastAsia="宋体" w:cs="宋体"/>
          <w:b w:val="0"/>
          <w:i w:val="0"/>
          <w:strike w:val="0"/>
          <w:color w:val="auto"/>
          <w:kern w:val="2"/>
          <w:sz w:val="24"/>
          <w:szCs w:val="22"/>
          <w:u w:val="none"/>
          <w:lang w:val="en-US" w:eastAsia="zh-CN" w:bidi="ar-SA"/>
        </w:rPr>
        <w:t>实践验证</w:t>
      </w:r>
      <w:r>
        <w:rPr>
          <w:rFonts w:hint="eastAsia" w:ascii="宋体" w:hAnsi="宋体" w:cs="宋体"/>
          <w:b w:val="0"/>
          <w:i w:val="0"/>
          <w:strike w:val="0"/>
          <w:color w:val="auto"/>
          <w:kern w:val="2"/>
          <w:sz w:val="24"/>
          <w:szCs w:val="22"/>
          <w:u w:val="none"/>
          <w:lang w:val="en-US" w:eastAsia="zh-CN" w:bidi="ar-SA"/>
        </w:rPr>
        <w:t>，主要零部件报废条件量化指标的制定</w:t>
      </w:r>
      <w:r>
        <w:rPr>
          <w:rFonts w:hint="eastAsia" w:ascii="宋体" w:hAnsi="宋体" w:eastAsia="宋体" w:cs="宋体"/>
          <w:b w:val="0"/>
          <w:i w:val="0"/>
          <w:strike w:val="0"/>
          <w:color w:val="auto"/>
          <w:kern w:val="2"/>
          <w:sz w:val="24"/>
          <w:szCs w:val="22"/>
          <w:u w:val="none"/>
          <w:lang w:val="en-US" w:eastAsia="zh-CN" w:bidi="ar-SA"/>
        </w:rPr>
        <w:t>先进合理、切实可行、可操作、适用性强，可以作为</w:t>
      </w:r>
      <w:r>
        <w:rPr>
          <w:rFonts w:hint="eastAsia" w:ascii="宋体" w:hAnsi="宋体" w:cs="宋体"/>
          <w:b w:val="0"/>
          <w:i w:val="0"/>
          <w:strike w:val="0"/>
          <w:color w:val="auto"/>
          <w:kern w:val="2"/>
          <w:sz w:val="24"/>
          <w:szCs w:val="22"/>
          <w:u w:val="none"/>
          <w:lang w:val="en-US" w:eastAsia="zh-CN" w:bidi="ar-SA"/>
        </w:rPr>
        <w:t>移动式升降工作平台主要零</w:t>
      </w:r>
      <w:r>
        <w:rPr>
          <w:rFonts w:hint="eastAsia" w:ascii="宋体" w:hAnsi="宋体" w:eastAsia="宋体" w:cs="宋体"/>
          <w:b w:val="0"/>
          <w:i w:val="0"/>
          <w:strike w:val="0"/>
          <w:color w:val="auto"/>
          <w:kern w:val="2"/>
          <w:sz w:val="24"/>
          <w:szCs w:val="22"/>
          <w:u w:val="none"/>
          <w:lang w:val="en-US" w:eastAsia="zh-CN" w:bidi="ar-SA"/>
        </w:rPr>
        <w:t>部件</w:t>
      </w:r>
      <w:r>
        <w:rPr>
          <w:rFonts w:hint="eastAsia" w:ascii="宋体" w:hAnsi="宋体" w:cs="宋体"/>
          <w:b w:val="0"/>
          <w:i w:val="0"/>
          <w:strike w:val="0"/>
          <w:color w:val="auto"/>
          <w:kern w:val="2"/>
          <w:sz w:val="24"/>
          <w:szCs w:val="22"/>
          <w:u w:val="none"/>
          <w:lang w:val="en-US" w:eastAsia="zh-CN" w:bidi="ar-SA"/>
        </w:rPr>
        <w:t>报废</w:t>
      </w:r>
      <w:r>
        <w:rPr>
          <w:rFonts w:hint="eastAsia" w:ascii="宋体" w:hAnsi="宋体" w:eastAsia="宋体" w:cs="宋体"/>
          <w:b w:val="0"/>
          <w:i w:val="0"/>
          <w:strike w:val="0"/>
          <w:color w:val="auto"/>
          <w:kern w:val="2"/>
          <w:sz w:val="24"/>
          <w:szCs w:val="22"/>
          <w:u w:val="none"/>
          <w:lang w:val="en-US" w:eastAsia="zh-CN" w:bidi="ar-SA"/>
        </w:rPr>
        <w:t>的依据</w:t>
      </w:r>
      <w:r>
        <w:rPr>
          <w:rFonts w:hint="eastAsia" w:ascii="宋体" w:hAnsi="宋体" w:cs="宋体"/>
          <w:b w:val="0"/>
          <w:i w:val="0"/>
          <w:strike w:val="0"/>
          <w:color w:val="auto"/>
          <w:kern w:val="2"/>
          <w:sz w:val="24"/>
          <w:szCs w:val="22"/>
          <w:u w:val="none"/>
          <w:lang w:val="en-US" w:eastAsia="zh-CN" w:bidi="ar-SA"/>
        </w:rPr>
        <w:t>。</w:t>
      </w:r>
    </w:p>
    <w:p w14:paraId="7CBFA319">
      <w:pPr>
        <w:pStyle w:val="4"/>
        <w:keepNext w:val="0"/>
        <w:keepLines w:val="0"/>
        <w:pageBreakBefore w:val="0"/>
        <w:kinsoku/>
        <w:wordWrap/>
        <w:overflowPunct/>
        <w:topLinePunct w:val="0"/>
        <w:bidi w:val="0"/>
        <w:adjustRightInd/>
        <w:snapToGrid/>
        <w:spacing w:line="360" w:lineRule="auto"/>
        <w:textAlignment w:val="auto"/>
        <w:rPr>
          <w:rFonts w:hint="default" w:ascii="黑体" w:hAnsi="宋体" w:eastAsia="黑体" w:cs="宋体"/>
          <w:kern w:val="0"/>
          <w:sz w:val="24"/>
          <w:szCs w:val="24"/>
          <w:highlight w:val="none"/>
          <w:lang w:val="en-US" w:eastAsia="zh-CN"/>
        </w:rPr>
      </w:pPr>
      <w:r>
        <w:rPr>
          <w:rFonts w:hint="eastAsia" w:ascii="黑体" w:hAnsi="宋体" w:eastAsia="黑体"/>
          <w:bCs/>
          <w:sz w:val="24"/>
          <w:szCs w:val="24"/>
          <w:highlight w:val="none"/>
          <w:lang w:val="en-US" w:eastAsia="zh-CN"/>
        </w:rPr>
        <w:t>四、推广应用论证和预期达到的经济效益、社会效益和生态效益</w:t>
      </w:r>
    </w:p>
    <w:p w14:paraId="1D2EBCF5">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eastAsia" w:hAnsi="宋体" w:cs="宋体"/>
          <w:kern w:val="0"/>
          <w:sz w:val="24"/>
          <w:szCs w:val="24"/>
          <w:highlight w:val="none"/>
          <w:lang w:val="en-US" w:eastAsia="zh-CN"/>
        </w:rPr>
      </w:pPr>
      <w:r>
        <w:rPr>
          <w:rFonts w:hint="eastAsia" w:hAnsi="宋体" w:cs="宋体"/>
          <w:kern w:val="0"/>
          <w:sz w:val="24"/>
          <w:szCs w:val="24"/>
          <w:highlight w:val="none"/>
          <w:lang w:val="en-US" w:eastAsia="zh-CN"/>
        </w:rPr>
        <w:t>1.推广应用论证</w:t>
      </w:r>
    </w:p>
    <w:p w14:paraId="26BD5F05">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default" w:hAnsi="宋体" w:cs="宋体"/>
          <w:kern w:val="0"/>
          <w:sz w:val="24"/>
          <w:szCs w:val="24"/>
          <w:highlight w:val="none"/>
          <w:lang w:val="en-US" w:eastAsia="zh-CN"/>
        </w:rPr>
      </w:pPr>
      <w:r>
        <w:rPr>
          <w:rFonts w:hint="eastAsia" w:hAnsi="宋体" w:cs="宋体"/>
          <w:kern w:val="0"/>
          <w:sz w:val="24"/>
          <w:szCs w:val="24"/>
          <w:highlight w:val="none"/>
          <w:lang w:val="en-US" w:eastAsia="zh-CN"/>
        </w:rPr>
        <w:t>目前</w:t>
      </w:r>
      <w:r>
        <w:rPr>
          <w:rFonts w:hint="default" w:hAnsi="宋体" w:cs="宋体"/>
          <w:kern w:val="0"/>
          <w:sz w:val="24"/>
          <w:szCs w:val="24"/>
          <w:highlight w:val="none"/>
          <w:lang w:val="en-US" w:eastAsia="zh-CN"/>
        </w:rPr>
        <w:t>，我国</w:t>
      </w:r>
      <w:r>
        <w:rPr>
          <w:rFonts w:hint="eastAsia" w:hAnsi="宋体" w:cs="宋体"/>
          <w:kern w:val="0"/>
          <w:sz w:val="24"/>
          <w:szCs w:val="24"/>
          <w:highlight w:val="none"/>
          <w:lang w:val="en-US" w:eastAsia="zh-CN"/>
        </w:rPr>
        <w:t>移动式升降工作平台老化问题严重</w:t>
      </w:r>
      <w:r>
        <w:rPr>
          <w:rFonts w:hint="default" w:hAnsi="宋体" w:cs="宋体"/>
          <w:kern w:val="0"/>
          <w:sz w:val="24"/>
          <w:szCs w:val="24"/>
          <w:highlight w:val="none"/>
          <w:lang w:val="en-US" w:eastAsia="zh-CN"/>
        </w:rPr>
        <w:t>，</w:t>
      </w:r>
      <w:r>
        <w:rPr>
          <w:rFonts w:hint="eastAsia" w:hAnsi="宋体" w:cs="宋体"/>
          <w:kern w:val="0"/>
          <w:sz w:val="24"/>
          <w:szCs w:val="24"/>
          <w:highlight w:val="none"/>
          <w:lang w:val="en-US" w:eastAsia="zh-CN"/>
        </w:rPr>
        <w:t>存在较大安全风险，</w:t>
      </w:r>
      <w:r>
        <w:rPr>
          <w:rFonts w:hint="default" w:hAnsi="宋体" w:cs="宋体"/>
          <w:kern w:val="0"/>
          <w:sz w:val="24"/>
          <w:szCs w:val="24"/>
          <w:highlight w:val="none"/>
          <w:lang w:val="en-US" w:eastAsia="zh-CN"/>
        </w:rPr>
        <w:t>亟需统一</w:t>
      </w:r>
      <w:r>
        <w:rPr>
          <w:rFonts w:hint="eastAsia" w:hAnsi="宋体" w:cs="宋体"/>
          <w:kern w:val="0"/>
          <w:sz w:val="24"/>
          <w:szCs w:val="24"/>
          <w:highlight w:val="none"/>
          <w:lang w:val="en-US" w:eastAsia="zh-CN"/>
        </w:rPr>
        <w:t>报废</w:t>
      </w:r>
      <w:r>
        <w:rPr>
          <w:rFonts w:hint="default" w:hAnsi="宋体" w:cs="宋体"/>
          <w:kern w:val="0"/>
          <w:sz w:val="24"/>
          <w:szCs w:val="24"/>
          <w:highlight w:val="none"/>
          <w:lang w:val="en-US" w:eastAsia="zh-CN"/>
        </w:rPr>
        <w:t>标准</w:t>
      </w:r>
      <w:r>
        <w:rPr>
          <w:rFonts w:hint="eastAsia" w:hAnsi="宋体" w:cs="宋体"/>
          <w:kern w:val="0"/>
          <w:sz w:val="24"/>
          <w:szCs w:val="24"/>
          <w:highlight w:val="none"/>
          <w:lang w:val="en-US" w:eastAsia="zh-CN"/>
        </w:rPr>
        <w:t>。另外</w:t>
      </w:r>
      <w:r>
        <w:rPr>
          <w:rFonts w:hint="default" w:hAnsi="宋体" w:cs="宋体"/>
          <w:kern w:val="0"/>
          <w:sz w:val="24"/>
          <w:szCs w:val="24"/>
          <w:highlight w:val="none"/>
          <w:lang w:val="en-US" w:eastAsia="zh-CN"/>
        </w:rPr>
        <w:t>现行标准侧重设计制造，缺乏使用阶段的</w:t>
      </w:r>
      <w:r>
        <w:rPr>
          <w:rFonts w:hint="eastAsia" w:hAnsi="宋体" w:cs="宋体"/>
          <w:kern w:val="0"/>
          <w:sz w:val="24"/>
          <w:szCs w:val="24"/>
          <w:highlight w:val="none"/>
          <w:lang w:val="en-US" w:eastAsia="zh-CN"/>
        </w:rPr>
        <w:t>报废</w:t>
      </w:r>
      <w:r>
        <w:rPr>
          <w:rFonts w:hint="default" w:hAnsi="宋体" w:cs="宋体"/>
          <w:kern w:val="0"/>
          <w:sz w:val="24"/>
          <w:szCs w:val="24"/>
          <w:highlight w:val="none"/>
          <w:lang w:val="en-US" w:eastAsia="zh-CN"/>
        </w:rPr>
        <w:t>依据，导致</w:t>
      </w:r>
      <w:r>
        <w:rPr>
          <w:rFonts w:hint="eastAsia" w:hAnsi="宋体" w:cs="宋体"/>
          <w:kern w:val="0"/>
          <w:sz w:val="24"/>
          <w:szCs w:val="24"/>
          <w:highlight w:val="none"/>
          <w:lang w:val="en-US" w:eastAsia="zh-CN"/>
        </w:rPr>
        <w:t>设备</w:t>
      </w:r>
      <w:r>
        <w:rPr>
          <w:rFonts w:hint="default" w:hAnsi="宋体" w:cs="宋体"/>
          <w:kern w:val="0"/>
          <w:sz w:val="24"/>
          <w:szCs w:val="24"/>
          <w:highlight w:val="none"/>
          <w:lang w:val="en-US" w:eastAsia="zh-CN"/>
        </w:rPr>
        <w:t>超期服役现象普遍。</w:t>
      </w:r>
      <w:r>
        <w:rPr>
          <w:rFonts w:hint="eastAsia" w:hAnsi="宋体" w:cs="宋体"/>
          <w:kern w:val="0"/>
          <w:sz w:val="24"/>
          <w:szCs w:val="24"/>
          <w:highlight w:val="none"/>
          <w:lang w:val="en-US" w:eastAsia="zh-CN"/>
        </w:rPr>
        <w:t>本</w:t>
      </w:r>
      <w:r>
        <w:rPr>
          <w:rFonts w:hint="default" w:hAnsi="宋体" w:cs="宋体"/>
          <w:kern w:val="0"/>
          <w:sz w:val="24"/>
          <w:szCs w:val="24"/>
          <w:highlight w:val="none"/>
          <w:lang w:val="en-US" w:eastAsia="zh-CN"/>
        </w:rPr>
        <w:t>标准采用</w:t>
      </w:r>
      <w:r>
        <w:rPr>
          <w:rFonts w:hint="eastAsia" w:hAnsi="宋体" w:cs="宋体"/>
          <w:kern w:val="0"/>
          <w:sz w:val="24"/>
          <w:szCs w:val="24"/>
          <w:highlight w:val="none"/>
          <w:lang w:val="en-US" w:eastAsia="zh-CN"/>
        </w:rPr>
        <w:t>的移动式升降工作平台常用检测</w:t>
      </w:r>
      <w:r>
        <w:rPr>
          <w:rFonts w:hint="default" w:hAnsi="宋体" w:cs="宋体"/>
          <w:kern w:val="0"/>
          <w:sz w:val="24"/>
          <w:szCs w:val="24"/>
          <w:highlight w:val="none"/>
          <w:lang w:val="en-US" w:eastAsia="zh-CN"/>
        </w:rPr>
        <w:t>方法已在行业广泛应用，检测成本可控</w:t>
      </w:r>
      <w:r>
        <w:rPr>
          <w:rFonts w:hint="eastAsia" w:hAnsi="宋体" w:cs="宋体"/>
          <w:kern w:val="0"/>
          <w:sz w:val="24"/>
          <w:szCs w:val="24"/>
          <w:highlight w:val="none"/>
          <w:lang w:val="en-US" w:eastAsia="zh-CN"/>
        </w:rPr>
        <w:t>。</w:t>
      </w:r>
    </w:p>
    <w:p w14:paraId="5A759299">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eastAsia" w:hAnsi="宋体" w:cs="宋体"/>
          <w:kern w:val="0"/>
          <w:sz w:val="24"/>
          <w:szCs w:val="24"/>
          <w:highlight w:val="none"/>
          <w:lang w:val="en-US" w:eastAsia="zh-CN"/>
        </w:rPr>
      </w:pPr>
      <w:r>
        <w:rPr>
          <w:rFonts w:hint="eastAsia" w:hAnsi="宋体" w:cs="宋体"/>
          <w:kern w:val="0"/>
          <w:sz w:val="24"/>
          <w:szCs w:val="24"/>
          <w:highlight w:val="none"/>
          <w:lang w:val="en-US" w:eastAsia="zh-CN"/>
        </w:rPr>
        <w:t>2.预期效益分析</w:t>
      </w:r>
    </w:p>
    <w:p w14:paraId="6AF208B6">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eastAsia" w:hAnsi="宋体" w:eastAsia="宋体" w:cs="宋体"/>
          <w:kern w:val="0"/>
          <w:sz w:val="24"/>
          <w:szCs w:val="24"/>
          <w:highlight w:val="none"/>
          <w:lang w:val="en-US" w:eastAsia="zh-CN"/>
        </w:rPr>
      </w:pPr>
      <w:r>
        <w:rPr>
          <w:rFonts w:hint="eastAsia" w:hAnsi="宋体" w:cs="宋体"/>
          <w:kern w:val="0"/>
          <w:sz w:val="24"/>
          <w:szCs w:val="24"/>
          <w:highlight w:val="none"/>
        </w:rPr>
        <w:t>本标准的制定</w:t>
      </w:r>
      <w:r>
        <w:rPr>
          <w:rFonts w:hint="eastAsia" w:hAnsi="宋体" w:cs="宋体"/>
          <w:kern w:val="0"/>
          <w:sz w:val="24"/>
          <w:szCs w:val="24"/>
          <w:highlight w:val="none"/>
          <w:lang w:val="en-US" w:eastAsia="zh-CN"/>
        </w:rPr>
        <w:t>明确</w:t>
      </w:r>
      <w:r>
        <w:rPr>
          <w:rFonts w:hint="eastAsia"/>
          <w:sz w:val="24"/>
          <w:szCs w:val="24"/>
          <w:highlight w:val="none"/>
          <w:lang w:val="en-US" w:eastAsia="zh-CN"/>
        </w:rPr>
        <w:t>移动式升降工作平台主要零部件的报废条件</w:t>
      </w:r>
      <w:r>
        <w:rPr>
          <w:rFonts w:hint="eastAsia" w:hAnsi="宋体" w:cs="宋体"/>
          <w:kern w:val="0"/>
          <w:sz w:val="24"/>
          <w:szCs w:val="24"/>
          <w:highlight w:val="none"/>
          <w:lang w:val="en-US" w:eastAsia="zh-CN"/>
        </w:rPr>
        <w:t>，显著降低移动式升降工作平台的使用安全风险，促进</w:t>
      </w:r>
      <w:r>
        <w:rPr>
          <w:rFonts w:hint="eastAsia"/>
          <w:sz w:val="24"/>
          <w:szCs w:val="24"/>
          <w:highlight w:val="none"/>
          <w:lang w:val="en-US" w:eastAsia="zh-CN"/>
        </w:rPr>
        <w:t>移动式升降工作平台</w:t>
      </w:r>
      <w:r>
        <w:rPr>
          <w:rFonts w:hint="eastAsia" w:hAnsi="宋体" w:cs="宋体"/>
          <w:kern w:val="0"/>
          <w:sz w:val="24"/>
          <w:szCs w:val="24"/>
          <w:highlight w:val="none"/>
          <w:lang w:val="en-US" w:eastAsia="zh-CN"/>
        </w:rPr>
        <w:t>产业链安全良性、高质量发展。</w:t>
      </w:r>
    </w:p>
    <w:p w14:paraId="0DB04A7D">
      <w:pPr>
        <w:pStyle w:val="4"/>
        <w:keepNext w:val="0"/>
        <w:keepLines w:val="0"/>
        <w:pageBreakBefore w:val="0"/>
        <w:kinsoku/>
        <w:wordWrap/>
        <w:overflowPunct/>
        <w:topLinePunct w:val="0"/>
        <w:bidi w:val="0"/>
        <w:adjustRightInd/>
        <w:snapToGrid/>
        <w:spacing w:line="360" w:lineRule="auto"/>
        <w:textAlignment w:val="auto"/>
        <w:rPr>
          <w:rFonts w:hint="default" w:ascii="黑体" w:hAnsi="宋体" w:eastAsia="黑体" w:cs="宋体"/>
          <w:kern w:val="0"/>
          <w:sz w:val="24"/>
          <w:szCs w:val="24"/>
          <w:highlight w:val="none"/>
          <w:lang w:val="en-US" w:eastAsia="zh-CN"/>
        </w:rPr>
      </w:pPr>
      <w:r>
        <w:rPr>
          <w:rFonts w:hint="eastAsia" w:ascii="黑体" w:hAnsi="宋体" w:eastAsia="黑体" w:cs="宋体"/>
          <w:kern w:val="0"/>
          <w:sz w:val="24"/>
          <w:szCs w:val="24"/>
          <w:highlight w:val="none"/>
          <w:lang w:val="en-US" w:eastAsia="zh-CN"/>
        </w:rPr>
        <w:t>五、</w:t>
      </w:r>
      <w:r>
        <w:rPr>
          <w:rFonts w:hint="eastAsia" w:ascii="黑体" w:hAnsi="宋体" w:eastAsia="黑体" w:cs="宋体"/>
          <w:kern w:val="0"/>
          <w:sz w:val="24"/>
          <w:szCs w:val="24"/>
          <w:highlight w:val="none"/>
        </w:rPr>
        <w:t xml:space="preserve"> </w:t>
      </w:r>
      <w:r>
        <w:rPr>
          <w:rFonts w:hint="eastAsia" w:ascii="黑体" w:hAnsi="宋体" w:eastAsia="黑体" w:cs="宋体"/>
          <w:kern w:val="0"/>
          <w:sz w:val="24"/>
          <w:szCs w:val="24"/>
          <w:highlight w:val="none"/>
          <w:lang w:val="en-US" w:eastAsia="zh-CN"/>
        </w:rPr>
        <w:t>国内外标准的研究情况说明</w:t>
      </w:r>
    </w:p>
    <w:p w14:paraId="579951B7">
      <w:pPr>
        <w:pStyle w:val="4"/>
        <w:keepNext w:val="0"/>
        <w:keepLines w:val="0"/>
        <w:pageBreakBefore w:val="0"/>
        <w:kinsoku/>
        <w:wordWrap/>
        <w:overflowPunct/>
        <w:topLinePunct w:val="0"/>
        <w:bidi w:val="0"/>
        <w:adjustRightInd/>
        <w:snapToGrid/>
        <w:spacing w:line="360" w:lineRule="auto"/>
        <w:ind w:firstLine="480"/>
        <w:textAlignment w:val="auto"/>
        <w:rPr>
          <w:rFonts w:hint="eastAsia"/>
          <w:sz w:val="24"/>
          <w:szCs w:val="24"/>
          <w:highlight w:val="none"/>
          <w:lang w:val="en-US" w:eastAsia="zh-CN"/>
        </w:rPr>
      </w:pPr>
      <w:r>
        <w:rPr>
          <w:rFonts w:hint="eastAsia" w:hAnsi="宋体" w:cs="宋体"/>
          <w:kern w:val="0"/>
          <w:sz w:val="24"/>
          <w:szCs w:val="24"/>
          <w:highlight w:val="none"/>
          <w:lang w:eastAsia="zh-CN"/>
        </w:rPr>
        <w:t xml:space="preserve">GB/T 25849《移动式升降工作平台 </w:t>
      </w:r>
      <w:r>
        <w:rPr>
          <w:rFonts w:hint="eastAsia" w:hAnsi="宋体" w:cs="宋体"/>
          <w:kern w:val="0"/>
          <w:sz w:val="24"/>
          <w:szCs w:val="24"/>
          <w:highlight w:val="none"/>
          <w:lang w:val="en-US" w:eastAsia="zh-CN"/>
        </w:rPr>
        <w:t>设计、计算、</w:t>
      </w:r>
      <w:r>
        <w:rPr>
          <w:rFonts w:hint="eastAsia" w:hAnsi="宋体" w:cs="宋体"/>
          <w:kern w:val="0"/>
          <w:sz w:val="24"/>
          <w:szCs w:val="24"/>
          <w:highlight w:val="none"/>
          <w:lang w:eastAsia="zh-CN"/>
        </w:rPr>
        <w:t>安全要求</w:t>
      </w:r>
      <w:r>
        <w:rPr>
          <w:rFonts w:hint="eastAsia" w:hAnsi="宋体" w:cs="宋体"/>
          <w:kern w:val="0"/>
          <w:sz w:val="24"/>
          <w:szCs w:val="24"/>
          <w:highlight w:val="none"/>
          <w:lang w:val="en-US" w:eastAsia="zh-CN"/>
        </w:rPr>
        <w:t>和试验方法</w:t>
      </w: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主要涉及</w:t>
      </w:r>
      <w:r>
        <w:rPr>
          <w:rFonts w:hint="eastAsia" w:hAnsi="宋体" w:cs="宋体"/>
          <w:kern w:val="0"/>
          <w:sz w:val="24"/>
          <w:szCs w:val="24"/>
          <w:highlight w:val="none"/>
          <w:lang w:eastAsia="zh-CN"/>
        </w:rPr>
        <w:t>设计、制造阶段的稳定性、载荷等要求，</w:t>
      </w:r>
      <w:r>
        <w:rPr>
          <w:rFonts w:hint="eastAsia" w:hAnsi="宋体" w:cs="宋体"/>
          <w:kern w:val="0"/>
          <w:sz w:val="24"/>
          <w:szCs w:val="24"/>
          <w:highlight w:val="none"/>
          <w:lang w:val="en-US" w:eastAsia="zh-CN"/>
        </w:rPr>
        <w:t>没有体现主要零部件的报废要求</w:t>
      </w:r>
      <w:r>
        <w:rPr>
          <w:rFonts w:hint="eastAsia" w:hAnsi="宋体" w:cs="宋体"/>
          <w:kern w:val="0"/>
          <w:sz w:val="24"/>
          <w:szCs w:val="24"/>
          <w:highlight w:val="none"/>
          <w:lang w:eastAsia="zh-CN"/>
        </w:rPr>
        <w:t>；GB/T 27548《移动式升降工作平台 安全规则、检查、维护和操作》</w:t>
      </w:r>
      <w:r>
        <w:rPr>
          <w:rFonts w:hint="eastAsia" w:hAnsi="宋体" w:cs="宋体"/>
          <w:kern w:val="0"/>
          <w:sz w:val="24"/>
          <w:szCs w:val="24"/>
          <w:highlight w:val="none"/>
          <w:lang w:val="en-US" w:eastAsia="zh-CN"/>
        </w:rPr>
        <w:t>主要规范人员的</w:t>
      </w:r>
      <w:r>
        <w:rPr>
          <w:rFonts w:hint="eastAsia" w:hAnsi="宋体" w:cs="宋体"/>
          <w:kern w:val="0"/>
          <w:sz w:val="24"/>
          <w:szCs w:val="24"/>
          <w:highlight w:val="none"/>
          <w:lang w:eastAsia="zh-CN"/>
        </w:rPr>
        <w:t>操作行为，但未涉及</w:t>
      </w:r>
      <w:r>
        <w:rPr>
          <w:rFonts w:hint="eastAsia" w:hAnsi="宋体" w:cs="宋体"/>
          <w:kern w:val="0"/>
          <w:sz w:val="24"/>
          <w:szCs w:val="24"/>
          <w:highlight w:val="none"/>
          <w:lang w:val="en-US" w:eastAsia="zh-CN"/>
        </w:rPr>
        <w:t>报废的相关内容</w:t>
      </w:r>
      <w:r>
        <w:rPr>
          <w:rFonts w:hint="eastAsia" w:hAnsi="宋体" w:cs="宋体"/>
          <w:kern w:val="0"/>
          <w:sz w:val="24"/>
          <w:szCs w:val="24"/>
          <w:highlight w:val="none"/>
          <w:lang w:eastAsia="zh-CN"/>
        </w:rPr>
        <w:t>。</w:t>
      </w:r>
      <w:r>
        <w:rPr>
          <w:rFonts w:hint="eastAsia" w:hAnsi="宋体" w:cs="宋体"/>
          <w:kern w:val="0"/>
          <w:sz w:val="24"/>
          <w:szCs w:val="24"/>
          <w:highlight w:val="none"/>
        </w:rPr>
        <w:t>国内标准普遍存在“重生产、轻</w:t>
      </w:r>
      <w:r>
        <w:rPr>
          <w:rFonts w:hint="eastAsia" w:hAnsi="宋体" w:cs="宋体"/>
          <w:kern w:val="0"/>
          <w:sz w:val="24"/>
          <w:szCs w:val="24"/>
          <w:highlight w:val="none"/>
          <w:lang w:val="en-US" w:eastAsia="zh-CN"/>
        </w:rPr>
        <w:t>报废</w:t>
      </w:r>
      <w:r>
        <w:rPr>
          <w:rFonts w:hint="eastAsia" w:hAnsi="宋体" w:cs="宋体"/>
          <w:kern w:val="0"/>
          <w:sz w:val="24"/>
          <w:szCs w:val="24"/>
          <w:highlight w:val="none"/>
        </w:rPr>
        <w:t>”问题，</w:t>
      </w:r>
      <w:r>
        <w:rPr>
          <w:rFonts w:hint="eastAsia" w:hAnsi="宋体" w:cs="宋体"/>
          <w:kern w:val="0"/>
          <w:sz w:val="24"/>
          <w:szCs w:val="24"/>
          <w:highlight w:val="none"/>
          <w:lang w:val="en-US" w:eastAsia="zh-CN"/>
        </w:rPr>
        <w:t>缺乏相关报废标准，</w:t>
      </w:r>
      <w:r>
        <w:rPr>
          <w:rFonts w:hint="eastAsia" w:hAnsi="宋体" w:cs="宋体"/>
          <w:kern w:val="0"/>
          <w:sz w:val="24"/>
          <w:szCs w:val="24"/>
          <w:highlight w:val="none"/>
          <w:lang w:eastAsia="zh-CN"/>
        </w:rPr>
        <w:t>报废</w:t>
      </w:r>
      <w:r>
        <w:rPr>
          <w:rFonts w:hint="eastAsia" w:hAnsi="宋体" w:cs="宋体"/>
          <w:kern w:val="0"/>
          <w:sz w:val="24"/>
          <w:szCs w:val="24"/>
          <w:highlight w:val="none"/>
        </w:rPr>
        <w:t>依赖企业经验，易导致标准不统一</w:t>
      </w: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国外标准如</w:t>
      </w:r>
      <w:r>
        <w:rPr>
          <w:rFonts w:hint="eastAsia" w:hAnsi="宋体" w:cs="宋体"/>
          <w:kern w:val="0"/>
          <w:sz w:val="24"/>
          <w:szCs w:val="24"/>
          <w:highlight w:val="none"/>
          <w:lang w:eastAsia="zh-CN"/>
        </w:rPr>
        <w:t>ANSI/S</w:t>
      </w:r>
      <w:r>
        <w:rPr>
          <w:rFonts w:hint="eastAsia" w:hAnsi="宋体" w:cs="宋体"/>
          <w:kern w:val="0"/>
          <w:sz w:val="24"/>
          <w:szCs w:val="24"/>
          <w:highlight w:val="none"/>
          <w:lang w:val="en-US" w:eastAsia="zh-CN"/>
        </w:rPr>
        <w:t>A</w:t>
      </w:r>
      <w:r>
        <w:rPr>
          <w:rFonts w:hint="eastAsia" w:hAnsi="宋体" w:cs="宋体"/>
          <w:kern w:val="0"/>
          <w:sz w:val="24"/>
          <w:szCs w:val="24"/>
          <w:highlight w:val="none"/>
          <w:lang w:eastAsia="zh-CN"/>
        </w:rPr>
        <w:t>IA</w:t>
      </w:r>
      <w:r>
        <w:rPr>
          <w:rFonts w:hint="eastAsia" w:hAnsi="宋体" w:cs="宋体"/>
          <w:kern w:val="0"/>
          <w:sz w:val="24"/>
          <w:szCs w:val="24"/>
          <w:highlight w:val="none"/>
          <w:lang w:val="en-US" w:eastAsia="zh-CN"/>
        </w:rPr>
        <w:t xml:space="preserve"> </w:t>
      </w:r>
      <w:r>
        <w:rPr>
          <w:rFonts w:hint="eastAsia" w:hAnsi="宋体" w:cs="宋体"/>
          <w:kern w:val="0"/>
          <w:sz w:val="24"/>
          <w:szCs w:val="24"/>
          <w:highlight w:val="none"/>
          <w:lang w:eastAsia="zh-CN"/>
        </w:rPr>
        <w:t>A92.20、</w:t>
      </w:r>
      <w:r>
        <w:rPr>
          <w:rFonts w:hint="eastAsia" w:hAnsi="宋体" w:cs="宋体"/>
          <w:kern w:val="0"/>
          <w:sz w:val="24"/>
          <w:szCs w:val="24"/>
          <w:highlight w:val="none"/>
          <w:lang w:val="en-US" w:eastAsia="zh-CN"/>
        </w:rPr>
        <w:t>EN 280等详细规定了</w:t>
      </w:r>
      <w:r>
        <w:rPr>
          <w:rFonts w:hint="eastAsia"/>
          <w:sz w:val="24"/>
          <w:szCs w:val="24"/>
          <w:highlight w:val="none"/>
          <w:lang w:val="en-US" w:eastAsia="zh-CN"/>
        </w:rPr>
        <w:t>移动式升降工作平台结构强度、稳定性、安全装置等设计制造要求，为判断设备原始健康状况提供了技术基准，但和国内标准一样未明确规定主要零部件的相关报废条件。</w:t>
      </w:r>
    </w:p>
    <w:p w14:paraId="56EF0163">
      <w:pPr>
        <w:pStyle w:val="4"/>
        <w:keepNext w:val="0"/>
        <w:keepLines w:val="0"/>
        <w:pageBreakBefore w:val="0"/>
        <w:kinsoku/>
        <w:wordWrap/>
        <w:overflowPunct/>
        <w:topLinePunct w:val="0"/>
        <w:bidi w:val="0"/>
        <w:adjustRightInd/>
        <w:snapToGrid/>
        <w:spacing w:line="360" w:lineRule="auto"/>
        <w:ind w:firstLine="480"/>
        <w:textAlignment w:val="auto"/>
        <w:rPr>
          <w:rFonts w:hint="default"/>
          <w:sz w:val="24"/>
          <w:szCs w:val="24"/>
          <w:highlight w:val="none"/>
          <w:lang w:val="en-US" w:eastAsia="zh-CN"/>
        </w:rPr>
      </w:pPr>
      <w:r>
        <w:rPr>
          <w:rFonts w:hint="eastAsia"/>
          <w:sz w:val="24"/>
          <w:szCs w:val="24"/>
          <w:highlight w:val="none"/>
          <w:lang w:val="en-US" w:eastAsia="zh-CN"/>
        </w:rPr>
        <w:t>本标准在参考ISO 16368等国际标准的基础上，结合我国现有存量设备的实际运行情况，制定了具有自主知识产权且符合中国市场特征的主要零部件报废标准。</w:t>
      </w:r>
    </w:p>
    <w:p w14:paraId="5B599543">
      <w:pPr>
        <w:pStyle w:val="4"/>
        <w:keepNext w:val="0"/>
        <w:keepLines w:val="0"/>
        <w:pageBreakBefore w:val="0"/>
        <w:kinsoku/>
        <w:wordWrap/>
        <w:overflowPunct/>
        <w:topLinePunct w:val="0"/>
        <w:bidi w:val="0"/>
        <w:adjustRightInd/>
        <w:snapToGrid/>
        <w:spacing w:line="360" w:lineRule="auto"/>
        <w:textAlignment w:val="auto"/>
        <w:rPr>
          <w:rFonts w:ascii="黑体" w:hAnsi="宋体" w:eastAsia="黑体" w:cs="宋体"/>
          <w:kern w:val="0"/>
          <w:sz w:val="24"/>
          <w:szCs w:val="24"/>
          <w:highlight w:val="none"/>
        </w:rPr>
      </w:pPr>
      <w:r>
        <w:rPr>
          <w:rFonts w:hint="eastAsia" w:ascii="黑体" w:eastAsia="黑体"/>
          <w:bCs/>
          <w:sz w:val="24"/>
          <w:szCs w:val="24"/>
          <w:highlight w:val="none"/>
          <w:lang w:val="en-US" w:eastAsia="zh-CN"/>
        </w:rPr>
        <w:t>六、</w:t>
      </w:r>
      <w:r>
        <w:rPr>
          <w:rFonts w:hint="eastAsia" w:ascii="黑体" w:hAnsi="宋体" w:eastAsia="黑体" w:cs="宋体"/>
          <w:kern w:val="0"/>
          <w:sz w:val="24"/>
          <w:szCs w:val="24"/>
          <w:highlight w:val="none"/>
        </w:rPr>
        <w:t>采用国际标准和国外先进标准</w:t>
      </w:r>
      <w:r>
        <w:rPr>
          <w:rFonts w:hint="eastAsia" w:ascii="黑体" w:hAnsi="宋体" w:eastAsia="黑体" w:cs="宋体"/>
          <w:kern w:val="0"/>
          <w:sz w:val="24"/>
          <w:szCs w:val="24"/>
          <w:highlight w:val="none"/>
          <w:lang w:val="en-US" w:eastAsia="zh-CN"/>
        </w:rPr>
        <w:t>及对比</w:t>
      </w:r>
      <w:r>
        <w:rPr>
          <w:rFonts w:hint="eastAsia" w:ascii="黑体" w:hAnsi="宋体" w:eastAsia="黑体" w:cs="宋体"/>
          <w:kern w:val="0"/>
          <w:sz w:val="24"/>
          <w:szCs w:val="24"/>
          <w:highlight w:val="none"/>
        </w:rPr>
        <w:t>情况</w:t>
      </w:r>
    </w:p>
    <w:p w14:paraId="50BA240B">
      <w:pPr>
        <w:pStyle w:val="4"/>
        <w:keepNext w:val="0"/>
        <w:keepLines w:val="0"/>
        <w:pageBreakBefore w:val="0"/>
        <w:kinsoku/>
        <w:wordWrap/>
        <w:overflowPunct/>
        <w:topLinePunct w:val="0"/>
        <w:bidi w:val="0"/>
        <w:adjustRightInd/>
        <w:snapToGrid/>
        <w:spacing w:line="360" w:lineRule="auto"/>
        <w:ind w:firstLine="480" w:firstLineChars="200"/>
        <w:textAlignment w:val="auto"/>
        <w:rPr>
          <w:rFonts w:hint="eastAsia" w:hAnsi="宋体" w:eastAsia="宋体" w:cs="宋体"/>
          <w:kern w:val="0"/>
          <w:sz w:val="24"/>
          <w:szCs w:val="24"/>
          <w:highlight w:val="none"/>
          <w:lang w:val="en-US" w:eastAsia="zh-CN"/>
        </w:rPr>
      </w:pPr>
      <w:r>
        <w:rPr>
          <w:rFonts w:hint="eastAsia" w:hAnsi="宋体"/>
          <w:sz w:val="24"/>
          <w:szCs w:val="24"/>
          <w:highlight w:val="none"/>
          <w:lang w:val="en-US" w:eastAsia="zh-CN"/>
        </w:rPr>
        <w:t>本标准</w:t>
      </w:r>
      <w:r>
        <w:rPr>
          <w:rFonts w:hint="eastAsia" w:hAnsi="宋体"/>
          <w:sz w:val="24"/>
          <w:szCs w:val="24"/>
          <w:highlight w:val="none"/>
        </w:rPr>
        <w:t>未采用国际标准和国外先进标准。</w:t>
      </w:r>
    </w:p>
    <w:p w14:paraId="68D87FC0">
      <w:pPr>
        <w:pStyle w:val="4"/>
        <w:keepNext w:val="0"/>
        <w:keepLines w:val="0"/>
        <w:pageBreakBefore w:val="0"/>
        <w:numPr>
          <w:ilvl w:val="0"/>
          <w:numId w:val="4"/>
        </w:numPr>
        <w:kinsoku/>
        <w:wordWrap/>
        <w:overflowPunct/>
        <w:topLinePunct w:val="0"/>
        <w:bidi w:val="0"/>
        <w:adjustRightInd/>
        <w:snapToGrid/>
        <w:spacing w:line="360" w:lineRule="auto"/>
        <w:textAlignment w:val="auto"/>
        <w:rPr>
          <w:rFonts w:hint="eastAsia" w:ascii="黑体" w:hAnsi="宋体" w:eastAsia="黑体" w:cs="宋体"/>
          <w:kern w:val="0"/>
          <w:sz w:val="24"/>
          <w:szCs w:val="24"/>
          <w:highlight w:val="none"/>
        </w:rPr>
      </w:pPr>
      <w:r>
        <w:rPr>
          <w:rFonts w:hint="eastAsia" w:ascii="黑体" w:hAnsi="宋体" w:eastAsia="黑体" w:cs="宋体"/>
          <w:kern w:val="0"/>
          <w:sz w:val="24"/>
          <w:szCs w:val="24"/>
          <w:highlight w:val="none"/>
        </w:rPr>
        <w:t>重大分歧意见的处理经过和依据</w:t>
      </w:r>
    </w:p>
    <w:p w14:paraId="6BD9EFD5">
      <w:pPr>
        <w:pStyle w:val="4"/>
        <w:keepNext w:val="0"/>
        <w:keepLines w:val="0"/>
        <w:pageBreakBefore w:val="0"/>
        <w:numPr>
          <w:ilvl w:val="-1"/>
          <w:numId w:val="0"/>
        </w:numPr>
        <w:kinsoku/>
        <w:wordWrap/>
        <w:overflowPunct/>
        <w:topLinePunct w:val="0"/>
        <w:bidi w:val="0"/>
        <w:adjustRightInd/>
        <w:snapToGrid/>
        <w:spacing w:line="360" w:lineRule="auto"/>
        <w:textAlignment w:val="auto"/>
        <w:rPr>
          <w:rFonts w:hint="default" w:ascii="黑体" w:hAnsi="宋体" w:eastAsia="黑体" w:cs="宋体"/>
          <w:kern w:val="0"/>
          <w:sz w:val="24"/>
          <w:szCs w:val="24"/>
          <w:highlight w:val="none"/>
          <w:lang w:val="en-US" w:eastAsia="zh-CN"/>
        </w:rPr>
      </w:pPr>
      <w:r>
        <w:rPr>
          <w:rFonts w:hint="eastAsia" w:ascii="黑体" w:hAnsi="宋体" w:eastAsia="黑体" w:cs="宋体"/>
          <w:kern w:val="0"/>
          <w:sz w:val="24"/>
          <w:szCs w:val="24"/>
          <w:highlight w:val="none"/>
          <w:lang w:val="en-US" w:eastAsia="zh-CN"/>
        </w:rPr>
        <w:t xml:space="preserve">    无。</w:t>
      </w:r>
    </w:p>
    <w:p w14:paraId="6468F634">
      <w:pPr>
        <w:pStyle w:val="4"/>
        <w:keepNext w:val="0"/>
        <w:keepLines w:val="0"/>
        <w:pageBreakBefore w:val="0"/>
        <w:kinsoku/>
        <w:wordWrap/>
        <w:overflowPunct/>
        <w:topLinePunct w:val="0"/>
        <w:bidi w:val="0"/>
        <w:adjustRightInd/>
        <w:snapToGrid/>
        <w:spacing w:line="360" w:lineRule="auto"/>
        <w:textAlignment w:val="auto"/>
        <w:rPr>
          <w:rFonts w:hint="default" w:ascii="黑体" w:hAnsi="宋体" w:eastAsia="黑体" w:cs="宋体"/>
          <w:kern w:val="0"/>
          <w:sz w:val="24"/>
          <w:szCs w:val="24"/>
          <w:highlight w:val="none"/>
          <w:lang w:val="en-US" w:eastAsia="zh-CN"/>
        </w:rPr>
      </w:pPr>
      <w:r>
        <w:rPr>
          <w:rFonts w:hint="eastAsia" w:ascii="黑体" w:hAnsi="宋体" w:eastAsia="黑体" w:cs="宋体"/>
          <w:kern w:val="0"/>
          <w:sz w:val="24"/>
          <w:szCs w:val="24"/>
          <w:highlight w:val="none"/>
          <w:lang w:val="en-US" w:eastAsia="zh-CN"/>
        </w:rPr>
        <w:t>八</w:t>
      </w:r>
      <w:r>
        <w:rPr>
          <w:rFonts w:hint="eastAsia" w:ascii="黑体" w:hAnsi="宋体" w:eastAsia="黑体" w:cs="宋体"/>
          <w:kern w:val="0"/>
          <w:sz w:val="24"/>
          <w:szCs w:val="24"/>
          <w:highlight w:val="none"/>
        </w:rPr>
        <w:t xml:space="preserve"> </w:t>
      </w:r>
      <w:r>
        <w:rPr>
          <w:rFonts w:hint="eastAsia" w:ascii="黑体" w:hAnsi="宋体" w:eastAsia="黑体" w:cs="宋体"/>
          <w:kern w:val="0"/>
          <w:sz w:val="24"/>
          <w:szCs w:val="24"/>
          <w:highlight w:val="none"/>
          <w:lang w:eastAsia="zh-CN"/>
        </w:rPr>
        <w:t>、</w:t>
      </w:r>
      <w:r>
        <w:rPr>
          <w:rFonts w:hint="eastAsia" w:ascii="黑体" w:hAnsi="宋体" w:eastAsia="黑体" w:cs="宋体"/>
          <w:kern w:val="0"/>
          <w:sz w:val="24"/>
          <w:szCs w:val="24"/>
          <w:highlight w:val="none"/>
          <w:lang w:val="en-US" w:eastAsia="zh-CN"/>
        </w:rPr>
        <w:t>涉及专利的有关说明</w:t>
      </w:r>
    </w:p>
    <w:p w14:paraId="1CB64AA8">
      <w:pPr>
        <w:pStyle w:val="4"/>
        <w:keepNext w:val="0"/>
        <w:keepLines w:val="0"/>
        <w:pageBreakBefore w:val="0"/>
        <w:kinsoku/>
        <w:wordWrap/>
        <w:overflowPunct/>
        <w:topLinePunct w:val="0"/>
        <w:bidi w:val="0"/>
        <w:adjustRightInd/>
        <w:snapToGrid/>
        <w:spacing w:line="360" w:lineRule="auto"/>
        <w:ind w:firstLine="480" w:firstLineChars="200"/>
        <w:textAlignment w:val="auto"/>
        <w:rPr>
          <w:rFonts w:hAnsi="宋体" w:cs="宋体"/>
          <w:kern w:val="0"/>
          <w:sz w:val="24"/>
          <w:szCs w:val="24"/>
          <w:highlight w:val="none"/>
        </w:rPr>
      </w:pPr>
      <w:r>
        <w:rPr>
          <w:rFonts w:hint="eastAsia" w:hAnsi="宋体" w:cs="宋体"/>
          <w:kern w:val="0"/>
          <w:sz w:val="24"/>
          <w:szCs w:val="24"/>
          <w:highlight w:val="none"/>
          <w:lang w:val="en-US" w:eastAsia="zh-CN"/>
        </w:rPr>
        <w:t>本</w:t>
      </w:r>
      <w:r>
        <w:rPr>
          <w:rFonts w:hint="eastAsia" w:hAnsi="宋体" w:cs="宋体"/>
          <w:kern w:val="0"/>
          <w:sz w:val="24"/>
          <w:szCs w:val="24"/>
          <w:highlight w:val="none"/>
        </w:rPr>
        <w:t>标准</w:t>
      </w:r>
      <w:r>
        <w:rPr>
          <w:rFonts w:hint="eastAsia" w:hAnsi="宋体" w:cs="宋体"/>
          <w:kern w:val="0"/>
          <w:sz w:val="24"/>
          <w:szCs w:val="24"/>
          <w:highlight w:val="none"/>
          <w:lang w:val="en-US" w:eastAsia="zh-CN"/>
        </w:rPr>
        <w:t>未涉及专利</w:t>
      </w:r>
      <w:r>
        <w:rPr>
          <w:rFonts w:hint="eastAsia" w:hAnsi="宋体" w:cs="宋体"/>
          <w:kern w:val="0"/>
          <w:sz w:val="24"/>
          <w:szCs w:val="24"/>
          <w:highlight w:val="none"/>
        </w:rPr>
        <w:t>。</w:t>
      </w:r>
    </w:p>
    <w:p w14:paraId="7A5A2DCC">
      <w:pPr>
        <w:keepNext w:val="0"/>
        <w:keepLines w:val="0"/>
        <w:pageBreakBefore w:val="0"/>
        <w:kinsoku/>
        <w:wordWrap/>
        <w:overflowPunct/>
        <w:topLinePunct w:val="0"/>
        <w:bidi w:val="0"/>
        <w:adjustRightInd/>
        <w:snapToGrid/>
        <w:spacing w:line="360" w:lineRule="auto"/>
        <w:textAlignment w:val="auto"/>
        <w:rPr>
          <w:rFonts w:ascii="黑体" w:hAnsi="宋体" w:eastAsia="黑体" w:cs="宋体"/>
          <w:kern w:val="0"/>
          <w:sz w:val="24"/>
          <w:szCs w:val="24"/>
          <w:highlight w:val="none"/>
        </w:rPr>
      </w:pPr>
      <w:r>
        <w:rPr>
          <w:rFonts w:hint="eastAsia" w:ascii="黑体" w:hAnsi="宋体" w:eastAsia="黑体"/>
          <w:sz w:val="24"/>
          <w:szCs w:val="24"/>
          <w:highlight w:val="none"/>
          <w:lang w:val="en-US" w:eastAsia="zh-CN"/>
        </w:rPr>
        <w:t>九、</w:t>
      </w:r>
      <w:r>
        <w:rPr>
          <w:rFonts w:hint="eastAsia" w:ascii="黑体" w:hAnsi="宋体" w:eastAsia="黑体"/>
          <w:sz w:val="24"/>
          <w:szCs w:val="24"/>
          <w:highlight w:val="none"/>
        </w:rPr>
        <w:t xml:space="preserve"> </w:t>
      </w:r>
      <w:r>
        <w:rPr>
          <w:rFonts w:hint="eastAsia" w:ascii="黑体" w:hAnsi="宋体" w:eastAsia="黑体" w:cs="宋体"/>
          <w:kern w:val="0"/>
          <w:sz w:val="24"/>
          <w:szCs w:val="24"/>
          <w:highlight w:val="none"/>
        </w:rPr>
        <w:t>标准</w:t>
      </w:r>
      <w:r>
        <w:rPr>
          <w:rFonts w:hint="eastAsia" w:ascii="黑体" w:hAnsi="宋体" w:eastAsia="黑体" w:cs="宋体"/>
          <w:kern w:val="0"/>
          <w:sz w:val="24"/>
          <w:szCs w:val="24"/>
          <w:highlight w:val="none"/>
          <w:lang w:val="en-US" w:eastAsia="zh-CN"/>
        </w:rPr>
        <w:t>宣贯实施</w:t>
      </w:r>
      <w:r>
        <w:rPr>
          <w:rFonts w:hint="eastAsia" w:ascii="黑体" w:hAnsi="宋体" w:eastAsia="黑体" w:cs="宋体"/>
          <w:kern w:val="0"/>
          <w:sz w:val="24"/>
          <w:szCs w:val="24"/>
          <w:highlight w:val="none"/>
        </w:rPr>
        <w:t>的要求和措施建议</w:t>
      </w:r>
    </w:p>
    <w:p w14:paraId="63601496">
      <w:pPr>
        <w:pStyle w:val="3"/>
        <w:keepNext w:val="0"/>
        <w:keepLines w:val="0"/>
        <w:pageBreakBefore w:val="0"/>
        <w:kinsoku/>
        <w:wordWrap/>
        <w:overflowPunct/>
        <w:topLinePunct w:val="0"/>
        <w:bidi w:val="0"/>
        <w:adjustRightInd/>
        <w:snapToGrid/>
        <w:spacing w:line="360" w:lineRule="auto"/>
        <w:ind w:left="0" w:firstLine="480" w:firstLineChars="200"/>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建议本标准批准发布6个月后实施。标准实施后，组织行业内相关单位开展会议培训或线上课程培训。</w:t>
      </w:r>
    </w:p>
    <w:p w14:paraId="1CB1A4A4">
      <w:pPr>
        <w:pStyle w:val="3"/>
        <w:keepNext w:val="0"/>
        <w:keepLines w:val="0"/>
        <w:pageBreakBefore w:val="0"/>
        <w:kinsoku/>
        <w:wordWrap/>
        <w:overflowPunct/>
        <w:topLinePunct w:val="0"/>
        <w:bidi w:val="0"/>
        <w:adjustRightInd/>
        <w:snapToGrid/>
        <w:spacing w:line="360" w:lineRule="auto"/>
        <w:ind w:left="0" w:firstLine="0" w:firstLineChars="0"/>
        <w:textAlignment w:val="auto"/>
        <w:rPr>
          <w:rFonts w:ascii="黑体" w:hAnsi="宋体" w:eastAsia="黑体" w:cs="宋体"/>
          <w:kern w:val="0"/>
          <w:sz w:val="24"/>
          <w:szCs w:val="24"/>
          <w:highlight w:val="none"/>
        </w:rPr>
      </w:pPr>
      <w:r>
        <w:rPr>
          <w:rFonts w:hint="eastAsia" w:ascii="黑体" w:eastAsia="黑体"/>
          <w:sz w:val="24"/>
          <w:szCs w:val="24"/>
          <w:highlight w:val="none"/>
          <w:lang w:val="en-US" w:eastAsia="zh-CN"/>
        </w:rPr>
        <w:t>十、</w:t>
      </w:r>
      <w:r>
        <w:rPr>
          <w:rFonts w:hint="eastAsia" w:ascii="黑体" w:hAnsi="宋体" w:eastAsia="黑体" w:cs="宋体"/>
          <w:kern w:val="0"/>
          <w:sz w:val="24"/>
          <w:szCs w:val="24"/>
          <w:highlight w:val="none"/>
        </w:rPr>
        <w:t>废止现行相关标准的建议</w:t>
      </w:r>
    </w:p>
    <w:p w14:paraId="6F8436E8">
      <w:pPr>
        <w:pStyle w:val="3"/>
        <w:keepNext w:val="0"/>
        <w:keepLines w:val="0"/>
        <w:pageBreakBefore w:val="0"/>
        <w:kinsoku/>
        <w:wordWrap/>
        <w:overflowPunct/>
        <w:topLinePunct w:val="0"/>
        <w:bidi w:val="0"/>
        <w:adjustRightInd/>
        <w:snapToGrid/>
        <w:spacing w:line="360" w:lineRule="auto"/>
        <w:ind w:left="0" w:firstLine="480" w:firstLineChars="200"/>
        <w:textAlignment w:val="auto"/>
        <w:rPr>
          <w:rFonts w:hint="eastAsia" w:hAnsi="宋体"/>
          <w:bCs/>
          <w:color w:val="000000"/>
          <w:sz w:val="24"/>
          <w:szCs w:val="24"/>
          <w:highlight w:val="none"/>
        </w:rPr>
      </w:pPr>
      <w:r>
        <w:rPr>
          <w:rFonts w:hint="eastAsia" w:hAnsi="宋体"/>
          <w:bCs/>
          <w:color w:val="000000"/>
          <w:sz w:val="24"/>
          <w:szCs w:val="24"/>
          <w:highlight w:val="none"/>
        </w:rPr>
        <w:t>本标准为新制定</w:t>
      </w:r>
      <w:r>
        <w:rPr>
          <w:rFonts w:hint="eastAsia" w:hAnsi="宋体"/>
          <w:bCs/>
          <w:color w:val="000000"/>
          <w:sz w:val="24"/>
          <w:szCs w:val="24"/>
          <w:highlight w:val="none"/>
          <w:lang w:val="en-US" w:eastAsia="zh-CN"/>
        </w:rPr>
        <w:t>团体</w:t>
      </w:r>
      <w:r>
        <w:rPr>
          <w:rFonts w:hint="eastAsia" w:hAnsi="宋体"/>
          <w:bCs/>
          <w:color w:val="000000"/>
          <w:sz w:val="24"/>
          <w:szCs w:val="24"/>
          <w:highlight w:val="none"/>
        </w:rPr>
        <w:t>标准，</w:t>
      </w:r>
      <w:r>
        <w:rPr>
          <w:rFonts w:hint="eastAsia" w:hAnsi="宋体"/>
          <w:bCs/>
          <w:color w:val="000000"/>
          <w:sz w:val="24"/>
          <w:szCs w:val="24"/>
          <w:highlight w:val="none"/>
          <w:lang w:val="en-US" w:eastAsia="zh-CN"/>
        </w:rPr>
        <w:t>无现行相关标准废止</w:t>
      </w:r>
      <w:r>
        <w:rPr>
          <w:rFonts w:hint="eastAsia" w:hAnsi="宋体"/>
          <w:bCs/>
          <w:color w:val="000000"/>
          <w:sz w:val="24"/>
          <w:szCs w:val="24"/>
          <w:highlight w:val="none"/>
        </w:rPr>
        <w:t>。</w:t>
      </w:r>
    </w:p>
    <w:p w14:paraId="3897B2A1">
      <w:pPr>
        <w:pStyle w:val="3"/>
        <w:keepNext w:val="0"/>
        <w:keepLines w:val="0"/>
        <w:pageBreakBefore w:val="0"/>
        <w:kinsoku/>
        <w:wordWrap/>
        <w:overflowPunct/>
        <w:topLinePunct w:val="0"/>
        <w:bidi w:val="0"/>
        <w:adjustRightInd/>
        <w:snapToGrid/>
        <w:spacing w:line="360" w:lineRule="auto"/>
        <w:ind w:left="0" w:leftChars="0" w:firstLine="0" w:firstLineChars="0"/>
        <w:textAlignment w:val="auto"/>
        <w:rPr>
          <w:rFonts w:ascii="黑体" w:hAnsi="宋体" w:eastAsia="黑体" w:cs="宋体"/>
          <w:kern w:val="0"/>
          <w:sz w:val="24"/>
          <w:szCs w:val="24"/>
          <w:highlight w:val="none"/>
        </w:rPr>
      </w:pPr>
      <w:r>
        <w:rPr>
          <w:rFonts w:hint="eastAsia" w:ascii="黑体" w:hAnsi="宋体" w:eastAsia="黑体" w:cs="宋体"/>
          <w:kern w:val="0"/>
          <w:sz w:val="24"/>
          <w:szCs w:val="24"/>
          <w:highlight w:val="none"/>
          <w:lang w:val="en-US" w:eastAsia="zh-CN"/>
        </w:rPr>
        <w:t>十一、</w:t>
      </w:r>
      <w:r>
        <w:rPr>
          <w:rFonts w:hint="eastAsia" w:ascii="黑体" w:hAnsi="宋体" w:eastAsia="黑体" w:cs="宋体"/>
          <w:kern w:val="0"/>
          <w:sz w:val="24"/>
          <w:szCs w:val="24"/>
          <w:highlight w:val="none"/>
        </w:rPr>
        <w:t>其他应予说明的事项</w:t>
      </w:r>
    </w:p>
    <w:p w14:paraId="3BA506DE">
      <w:pPr>
        <w:pStyle w:val="14"/>
        <w:keepNext w:val="0"/>
        <w:keepLines w:val="0"/>
        <w:pageBreakBefore w:val="0"/>
        <w:kinsoku/>
        <w:wordWrap/>
        <w:overflowPunct/>
        <w:topLinePunct w:val="0"/>
        <w:bidi w:val="0"/>
        <w:adjustRightInd/>
        <w:snapToGrid/>
        <w:spacing w:line="360" w:lineRule="auto"/>
        <w:ind w:firstLine="480" w:firstLineChars="0"/>
        <w:textAlignment w:val="auto"/>
        <w:rPr>
          <w:rFonts w:hint="eastAsia" w:hAnsi="宋体"/>
          <w:bCs/>
          <w:color w:val="000000"/>
          <w:sz w:val="24"/>
          <w:szCs w:val="24"/>
          <w:highlight w:val="none"/>
          <w:lang w:val="en-US" w:eastAsia="zh-CN"/>
        </w:rPr>
      </w:pPr>
      <w:r>
        <w:rPr>
          <w:rFonts w:hint="eastAsia" w:hAnsi="宋体"/>
          <w:bCs/>
          <w:color w:val="000000"/>
          <w:sz w:val="24"/>
          <w:szCs w:val="24"/>
          <w:highlight w:val="none"/>
          <w:lang w:val="en-US" w:eastAsia="zh-CN"/>
        </w:rPr>
        <w:t>标准名称由《移动式升降工作平台报废技术规范》经两次标准草案研讨会专家的一致研判更改为《移动式升降工作平台主要零部件报废条件》。</w:t>
      </w:r>
    </w:p>
    <w:p w14:paraId="2F3B61AE">
      <w:pPr>
        <w:pStyle w:val="14"/>
        <w:keepNext w:val="0"/>
        <w:keepLines w:val="0"/>
        <w:pageBreakBefore w:val="0"/>
        <w:kinsoku/>
        <w:wordWrap/>
        <w:overflowPunct/>
        <w:topLinePunct w:val="0"/>
        <w:bidi w:val="0"/>
        <w:adjustRightInd/>
        <w:snapToGrid/>
        <w:spacing w:line="360" w:lineRule="auto"/>
        <w:ind w:firstLine="480" w:firstLineChars="0"/>
        <w:textAlignment w:val="auto"/>
        <w:rPr>
          <w:rFonts w:hint="eastAsia" w:hAnsi="宋体"/>
          <w:bCs/>
          <w:color w:val="000000"/>
          <w:sz w:val="24"/>
          <w:szCs w:val="24"/>
          <w:highlight w:val="none"/>
          <w:lang w:val="en-US" w:eastAsia="zh-CN"/>
        </w:rPr>
      </w:pPr>
    </w:p>
    <w:p w14:paraId="46A1095E">
      <w:pPr>
        <w:pStyle w:val="14"/>
        <w:keepNext w:val="0"/>
        <w:keepLines w:val="0"/>
        <w:pageBreakBefore w:val="0"/>
        <w:kinsoku/>
        <w:wordWrap/>
        <w:overflowPunct/>
        <w:topLinePunct w:val="0"/>
        <w:bidi w:val="0"/>
        <w:adjustRightInd/>
        <w:snapToGrid/>
        <w:spacing w:line="360" w:lineRule="auto"/>
        <w:ind w:firstLine="480" w:firstLineChars="0"/>
        <w:textAlignment w:val="auto"/>
        <w:rPr>
          <w:rFonts w:hint="default" w:hAnsi="宋体"/>
          <w:bCs/>
          <w:color w:val="000000"/>
          <w:sz w:val="24"/>
          <w:szCs w:val="24"/>
          <w:highlight w:val="none"/>
          <w:lang w:val="en-US" w:eastAsia="zh-CN"/>
        </w:rPr>
      </w:pPr>
    </w:p>
    <w:p w14:paraId="53ABC1EE">
      <w:pPr>
        <w:pStyle w:val="14"/>
        <w:keepNext w:val="0"/>
        <w:keepLines w:val="0"/>
        <w:pageBreakBefore w:val="0"/>
        <w:kinsoku/>
        <w:wordWrap/>
        <w:overflowPunct/>
        <w:topLinePunct w:val="0"/>
        <w:bidi w:val="0"/>
        <w:adjustRightInd/>
        <w:snapToGrid/>
        <w:spacing w:line="360" w:lineRule="auto"/>
        <w:ind w:firstLine="0" w:firstLineChars="0"/>
        <w:jc w:val="right"/>
        <w:textAlignment w:val="auto"/>
        <w:rPr>
          <w:rFonts w:hint="eastAsia"/>
          <w:color w:val="000000"/>
          <w:sz w:val="24"/>
          <w:szCs w:val="24"/>
          <w:highlight w:val="none"/>
        </w:rPr>
      </w:pPr>
      <w:r>
        <w:rPr>
          <w:rFonts w:hint="eastAsia" w:ascii="宋体" w:hAnsi="宋体" w:eastAsia="宋体"/>
          <w:sz w:val="24"/>
          <w:szCs w:val="24"/>
        </w:rPr>
        <w:t>《</w:t>
      </w:r>
      <w:r>
        <w:rPr>
          <w:rFonts w:hint="eastAsia" w:ascii="宋体" w:hAnsi="宋体" w:eastAsia="宋体"/>
          <w:sz w:val="24"/>
          <w:szCs w:val="24"/>
          <w:lang w:val="en-US" w:eastAsia="zh-CN"/>
        </w:rPr>
        <w:t>移动式升降工作平台主要零部件报废条件</w:t>
      </w:r>
      <w:r>
        <w:rPr>
          <w:rFonts w:hint="eastAsia" w:ascii="宋体" w:hAnsi="宋体" w:eastAsia="宋体"/>
          <w:sz w:val="24"/>
          <w:szCs w:val="24"/>
        </w:rPr>
        <w:t>》编制工作组</w:t>
      </w:r>
    </w:p>
    <w:p w14:paraId="5B7C7503">
      <w:pPr>
        <w:pStyle w:val="14"/>
        <w:keepNext w:val="0"/>
        <w:keepLines w:val="0"/>
        <w:pageBreakBefore w:val="0"/>
        <w:kinsoku/>
        <w:wordWrap/>
        <w:overflowPunct/>
        <w:topLinePunct w:val="0"/>
        <w:bidi w:val="0"/>
        <w:adjustRightInd/>
        <w:snapToGrid/>
        <w:spacing w:line="360" w:lineRule="auto"/>
        <w:ind w:firstLine="0" w:firstLineChars="0"/>
        <w:jc w:val="right"/>
        <w:textAlignment w:val="auto"/>
        <w:rPr>
          <w:sz w:val="24"/>
          <w:szCs w:val="24"/>
          <w:highlight w:val="none"/>
        </w:rPr>
      </w:pPr>
      <w:r>
        <w:rPr>
          <w:rFonts w:hint="eastAsia"/>
          <w:color w:val="000000"/>
          <w:sz w:val="24"/>
          <w:szCs w:val="24"/>
          <w:highlight w:val="none"/>
        </w:rPr>
        <w:t>二〇二</w:t>
      </w:r>
      <w:r>
        <w:rPr>
          <w:rFonts w:hint="eastAsia"/>
          <w:color w:val="000000"/>
          <w:sz w:val="24"/>
          <w:szCs w:val="24"/>
          <w:highlight w:val="none"/>
          <w:lang w:val="en-US" w:eastAsia="zh-CN"/>
        </w:rPr>
        <w:t>六</w:t>
      </w:r>
      <w:r>
        <w:rPr>
          <w:rFonts w:hint="eastAsia"/>
          <w:color w:val="000000"/>
          <w:sz w:val="24"/>
          <w:szCs w:val="24"/>
          <w:highlight w:val="none"/>
        </w:rPr>
        <w:t>年</w:t>
      </w:r>
      <w:r>
        <w:rPr>
          <w:rFonts w:hint="eastAsia"/>
          <w:color w:val="000000"/>
          <w:sz w:val="24"/>
          <w:szCs w:val="24"/>
          <w:highlight w:val="none"/>
          <w:lang w:val="en-US" w:eastAsia="zh-CN"/>
        </w:rPr>
        <w:t>五</w:t>
      </w:r>
      <w:r>
        <w:rPr>
          <w:rFonts w:hint="eastAsia"/>
          <w:color w:val="000000"/>
          <w:sz w:val="24"/>
          <w:szCs w:val="24"/>
          <w:highlight w:val="none"/>
        </w:rPr>
        <w:t>月</w:t>
      </w:r>
    </w:p>
    <w:sectPr>
      <w:pgSz w:w="11907" w:h="16839"/>
      <w:pgMar w:top="1417" w:right="1417" w:bottom="1417" w:left="1417" w:header="1418" w:footer="601" w:gutter="0"/>
      <w:pgNumType w:start="1"/>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13F4"/>
    <w:multiLevelType w:val="singleLevel"/>
    <w:tmpl w:val="D77D13F4"/>
    <w:lvl w:ilvl="0" w:tentative="0">
      <w:start w:val="1"/>
      <w:numFmt w:val="decimal"/>
      <w:suff w:val="nothing"/>
      <w:lvlText w:val="%1）"/>
      <w:lvlJc w:val="left"/>
    </w:lvl>
  </w:abstractNum>
  <w:abstractNum w:abstractNumId="1">
    <w:nsid w:val="1067436A"/>
    <w:multiLevelType w:val="singleLevel"/>
    <w:tmpl w:val="1067436A"/>
    <w:lvl w:ilvl="0" w:tentative="0">
      <w:start w:val="7"/>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3D2ED77F"/>
    <w:multiLevelType w:val="singleLevel"/>
    <w:tmpl w:val="3D2ED77F"/>
    <w:lvl w:ilvl="0" w:tentative="0">
      <w:start w:val="2"/>
      <w:numFmt w:val="decimal"/>
      <w:suff w:val="space"/>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OWE2NWVmNjYxNTUwMjgzNmQxYmFlOTNlODdhOTAifQ=="/>
  </w:docVars>
  <w:rsids>
    <w:rsidRoot w:val="00693981"/>
    <w:rsid w:val="00014BE6"/>
    <w:rsid w:val="000233BC"/>
    <w:rsid w:val="00053ACE"/>
    <w:rsid w:val="00085E9D"/>
    <w:rsid w:val="000A6719"/>
    <w:rsid w:val="000D7E49"/>
    <w:rsid w:val="000E7B35"/>
    <w:rsid w:val="000F3E04"/>
    <w:rsid w:val="00100FEB"/>
    <w:rsid w:val="00133A74"/>
    <w:rsid w:val="001C0E43"/>
    <w:rsid w:val="001C64A5"/>
    <w:rsid w:val="001F3FAE"/>
    <w:rsid w:val="001F4FA5"/>
    <w:rsid w:val="0020462A"/>
    <w:rsid w:val="00223107"/>
    <w:rsid w:val="0025290B"/>
    <w:rsid w:val="00254E11"/>
    <w:rsid w:val="0025680B"/>
    <w:rsid w:val="0026489F"/>
    <w:rsid w:val="00264E69"/>
    <w:rsid w:val="00277200"/>
    <w:rsid w:val="00282D5D"/>
    <w:rsid w:val="002A0EBE"/>
    <w:rsid w:val="002B370B"/>
    <w:rsid w:val="002C36F4"/>
    <w:rsid w:val="003109AB"/>
    <w:rsid w:val="00310D89"/>
    <w:rsid w:val="003551E6"/>
    <w:rsid w:val="003747A9"/>
    <w:rsid w:val="00394642"/>
    <w:rsid w:val="003A0914"/>
    <w:rsid w:val="003C540B"/>
    <w:rsid w:val="003F0991"/>
    <w:rsid w:val="00416871"/>
    <w:rsid w:val="004362E5"/>
    <w:rsid w:val="00444599"/>
    <w:rsid w:val="00465DD6"/>
    <w:rsid w:val="0047513B"/>
    <w:rsid w:val="004755B8"/>
    <w:rsid w:val="004756CC"/>
    <w:rsid w:val="00476A61"/>
    <w:rsid w:val="0048071A"/>
    <w:rsid w:val="00491329"/>
    <w:rsid w:val="00493C99"/>
    <w:rsid w:val="004D48DB"/>
    <w:rsid w:val="004F2772"/>
    <w:rsid w:val="005038D1"/>
    <w:rsid w:val="00512A56"/>
    <w:rsid w:val="0051591F"/>
    <w:rsid w:val="0052205C"/>
    <w:rsid w:val="00537488"/>
    <w:rsid w:val="00562161"/>
    <w:rsid w:val="00577D30"/>
    <w:rsid w:val="00594360"/>
    <w:rsid w:val="005A4CAF"/>
    <w:rsid w:val="005B70CD"/>
    <w:rsid w:val="005C0BB7"/>
    <w:rsid w:val="005F27ED"/>
    <w:rsid w:val="005F3D0D"/>
    <w:rsid w:val="00612B5C"/>
    <w:rsid w:val="006646AD"/>
    <w:rsid w:val="00693981"/>
    <w:rsid w:val="006F1CEC"/>
    <w:rsid w:val="007101C0"/>
    <w:rsid w:val="0071046B"/>
    <w:rsid w:val="00756B51"/>
    <w:rsid w:val="00775430"/>
    <w:rsid w:val="007912AA"/>
    <w:rsid w:val="007961ED"/>
    <w:rsid w:val="007A12F6"/>
    <w:rsid w:val="007A4DFA"/>
    <w:rsid w:val="007A51B4"/>
    <w:rsid w:val="007C1D6A"/>
    <w:rsid w:val="007D0ACD"/>
    <w:rsid w:val="007D386A"/>
    <w:rsid w:val="007D5154"/>
    <w:rsid w:val="00870F65"/>
    <w:rsid w:val="00887D8A"/>
    <w:rsid w:val="008B7316"/>
    <w:rsid w:val="009262ED"/>
    <w:rsid w:val="00932A1F"/>
    <w:rsid w:val="009358BB"/>
    <w:rsid w:val="009671B0"/>
    <w:rsid w:val="0097464C"/>
    <w:rsid w:val="009922CE"/>
    <w:rsid w:val="009B49E5"/>
    <w:rsid w:val="009D334C"/>
    <w:rsid w:val="00A37327"/>
    <w:rsid w:val="00A64F85"/>
    <w:rsid w:val="00A94061"/>
    <w:rsid w:val="00AD0ACD"/>
    <w:rsid w:val="00AE6136"/>
    <w:rsid w:val="00B15564"/>
    <w:rsid w:val="00B621D8"/>
    <w:rsid w:val="00B66E82"/>
    <w:rsid w:val="00B701B7"/>
    <w:rsid w:val="00B83545"/>
    <w:rsid w:val="00BC77F0"/>
    <w:rsid w:val="00BD5E7D"/>
    <w:rsid w:val="00BE3F96"/>
    <w:rsid w:val="00BF7B70"/>
    <w:rsid w:val="00C53240"/>
    <w:rsid w:val="00C56D11"/>
    <w:rsid w:val="00C62832"/>
    <w:rsid w:val="00C72EF3"/>
    <w:rsid w:val="00C83DE2"/>
    <w:rsid w:val="00C870C2"/>
    <w:rsid w:val="00CC74DA"/>
    <w:rsid w:val="00D330D3"/>
    <w:rsid w:val="00D37D2A"/>
    <w:rsid w:val="00D40019"/>
    <w:rsid w:val="00D410B9"/>
    <w:rsid w:val="00D842F2"/>
    <w:rsid w:val="00E37E09"/>
    <w:rsid w:val="00E4522C"/>
    <w:rsid w:val="00E6228A"/>
    <w:rsid w:val="00E8168D"/>
    <w:rsid w:val="00EC36E5"/>
    <w:rsid w:val="00ED59A1"/>
    <w:rsid w:val="00EF4BDF"/>
    <w:rsid w:val="00F06997"/>
    <w:rsid w:val="00F27BF1"/>
    <w:rsid w:val="00F54877"/>
    <w:rsid w:val="00F639CE"/>
    <w:rsid w:val="00FC1B95"/>
    <w:rsid w:val="00FE20F2"/>
    <w:rsid w:val="016814B1"/>
    <w:rsid w:val="017442FA"/>
    <w:rsid w:val="01770C0B"/>
    <w:rsid w:val="0187402D"/>
    <w:rsid w:val="01CF1530"/>
    <w:rsid w:val="01D94717"/>
    <w:rsid w:val="01DB1C83"/>
    <w:rsid w:val="02076F1C"/>
    <w:rsid w:val="027268A5"/>
    <w:rsid w:val="031E451D"/>
    <w:rsid w:val="033267EB"/>
    <w:rsid w:val="03F546A4"/>
    <w:rsid w:val="040E6340"/>
    <w:rsid w:val="04476373"/>
    <w:rsid w:val="046B05DD"/>
    <w:rsid w:val="04BA3A86"/>
    <w:rsid w:val="058B39C0"/>
    <w:rsid w:val="05B41169"/>
    <w:rsid w:val="060C2D53"/>
    <w:rsid w:val="06201BE9"/>
    <w:rsid w:val="0620235A"/>
    <w:rsid w:val="06624721"/>
    <w:rsid w:val="07585B24"/>
    <w:rsid w:val="076D5A73"/>
    <w:rsid w:val="07863CAC"/>
    <w:rsid w:val="07941252"/>
    <w:rsid w:val="07B90CB8"/>
    <w:rsid w:val="07F341CA"/>
    <w:rsid w:val="08662BC9"/>
    <w:rsid w:val="08D86F1C"/>
    <w:rsid w:val="08E91129"/>
    <w:rsid w:val="09075A53"/>
    <w:rsid w:val="0A711083"/>
    <w:rsid w:val="0A960E3D"/>
    <w:rsid w:val="0B04224A"/>
    <w:rsid w:val="0B093D05"/>
    <w:rsid w:val="0B5A00BC"/>
    <w:rsid w:val="0BA8707A"/>
    <w:rsid w:val="0BB43C70"/>
    <w:rsid w:val="0C1A6669"/>
    <w:rsid w:val="0C57284E"/>
    <w:rsid w:val="0C605BA6"/>
    <w:rsid w:val="0C882A07"/>
    <w:rsid w:val="0CBB2DDD"/>
    <w:rsid w:val="0CE340E1"/>
    <w:rsid w:val="0CF05EE4"/>
    <w:rsid w:val="0D0227BA"/>
    <w:rsid w:val="0DD154D1"/>
    <w:rsid w:val="0DF742E8"/>
    <w:rsid w:val="0DFF4F4B"/>
    <w:rsid w:val="0E032C8D"/>
    <w:rsid w:val="0E794CFD"/>
    <w:rsid w:val="0F317386"/>
    <w:rsid w:val="0F3703BB"/>
    <w:rsid w:val="0FAD6D27"/>
    <w:rsid w:val="100B407B"/>
    <w:rsid w:val="10363E16"/>
    <w:rsid w:val="109D6F15"/>
    <w:rsid w:val="10AE33DE"/>
    <w:rsid w:val="10C61D50"/>
    <w:rsid w:val="11574382"/>
    <w:rsid w:val="1212797A"/>
    <w:rsid w:val="1226519C"/>
    <w:rsid w:val="12A06CFD"/>
    <w:rsid w:val="12A8520C"/>
    <w:rsid w:val="12D40754"/>
    <w:rsid w:val="135E2714"/>
    <w:rsid w:val="138008DC"/>
    <w:rsid w:val="13C94590"/>
    <w:rsid w:val="142647AF"/>
    <w:rsid w:val="14942891"/>
    <w:rsid w:val="14AD74AF"/>
    <w:rsid w:val="15051099"/>
    <w:rsid w:val="162639BD"/>
    <w:rsid w:val="164200CB"/>
    <w:rsid w:val="1686445B"/>
    <w:rsid w:val="16D50F3F"/>
    <w:rsid w:val="17063F63"/>
    <w:rsid w:val="173E6AE4"/>
    <w:rsid w:val="17530660"/>
    <w:rsid w:val="176003A8"/>
    <w:rsid w:val="17A5361F"/>
    <w:rsid w:val="18DA45EA"/>
    <w:rsid w:val="19520625"/>
    <w:rsid w:val="19B94B48"/>
    <w:rsid w:val="1A187AC0"/>
    <w:rsid w:val="1A3A7A37"/>
    <w:rsid w:val="1AB62E35"/>
    <w:rsid w:val="1AD35795"/>
    <w:rsid w:val="1B1E2EB4"/>
    <w:rsid w:val="1B267FBB"/>
    <w:rsid w:val="1B662AAD"/>
    <w:rsid w:val="1C0025BA"/>
    <w:rsid w:val="1C1930E6"/>
    <w:rsid w:val="1C60574F"/>
    <w:rsid w:val="1C850D11"/>
    <w:rsid w:val="1CC655B2"/>
    <w:rsid w:val="1CFC5477"/>
    <w:rsid w:val="1D187DD7"/>
    <w:rsid w:val="1D3E783E"/>
    <w:rsid w:val="1D8F1E47"/>
    <w:rsid w:val="1E8F40C9"/>
    <w:rsid w:val="1F070103"/>
    <w:rsid w:val="1FA31BDA"/>
    <w:rsid w:val="1FA3669D"/>
    <w:rsid w:val="207B709C"/>
    <w:rsid w:val="219C0FD7"/>
    <w:rsid w:val="220B7719"/>
    <w:rsid w:val="224F2DE5"/>
    <w:rsid w:val="2250591D"/>
    <w:rsid w:val="229E2B2D"/>
    <w:rsid w:val="22A04AF7"/>
    <w:rsid w:val="22B20386"/>
    <w:rsid w:val="22D1652C"/>
    <w:rsid w:val="22DF561F"/>
    <w:rsid w:val="22FD3CF7"/>
    <w:rsid w:val="23241284"/>
    <w:rsid w:val="23413B6C"/>
    <w:rsid w:val="23437C81"/>
    <w:rsid w:val="237C10C0"/>
    <w:rsid w:val="239C706C"/>
    <w:rsid w:val="23D902C0"/>
    <w:rsid w:val="23FF75FB"/>
    <w:rsid w:val="24155071"/>
    <w:rsid w:val="245938AC"/>
    <w:rsid w:val="246C4A50"/>
    <w:rsid w:val="2483373B"/>
    <w:rsid w:val="250D7B26"/>
    <w:rsid w:val="254F010E"/>
    <w:rsid w:val="259326F1"/>
    <w:rsid w:val="25C97124"/>
    <w:rsid w:val="25FF1B34"/>
    <w:rsid w:val="266D2F42"/>
    <w:rsid w:val="26802C75"/>
    <w:rsid w:val="269009DE"/>
    <w:rsid w:val="26B26BA7"/>
    <w:rsid w:val="26C03072"/>
    <w:rsid w:val="27117D71"/>
    <w:rsid w:val="27181100"/>
    <w:rsid w:val="277A3B68"/>
    <w:rsid w:val="27BA21B7"/>
    <w:rsid w:val="27FD1F46"/>
    <w:rsid w:val="28017DE6"/>
    <w:rsid w:val="283775B0"/>
    <w:rsid w:val="290C3712"/>
    <w:rsid w:val="290D27BA"/>
    <w:rsid w:val="2A07545B"/>
    <w:rsid w:val="2AC055CB"/>
    <w:rsid w:val="2AF44766"/>
    <w:rsid w:val="2B0F45C8"/>
    <w:rsid w:val="2B43759F"/>
    <w:rsid w:val="2BC058C2"/>
    <w:rsid w:val="2BDD62C6"/>
    <w:rsid w:val="2C416A03"/>
    <w:rsid w:val="2E3D144C"/>
    <w:rsid w:val="2E471FB2"/>
    <w:rsid w:val="2E9848D4"/>
    <w:rsid w:val="2EF75A9F"/>
    <w:rsid w:val="2EF97A69"/>
    <w:rsid w:val="2F77513E"/>
    <w:rsid w:val="2F8925C8"/>
    <w:rsid w:val="2F917CA1"/>
    <w:rsid w:val="2FA71273"/>
    <w:rsid w:val="2FE66D29"/>
    <w:rsid w:val="3038011D"/>
    <w:rsid w:val="30711881"/>
    <w:rsid w:val="30C14E76"/>
    <w:rsid w:val="310224D9"/>
    <w:rsid w:val="31456F95"/>
    <w:rsid w:val="31D9592F"/>
    <w:rsid w:val="31DC0F7C"/>
    <w:rsid w:val="32877139"/>
    <w:rsid w:val="32AB107A"/>
    <w:rsid w:val="32B2363B"/>
    <w:rsid w:val="32BF68D3"/>
    <w:rsid w:val="32DF2AD1"/>
    <w:rsid w:val="33264BA4"/>
    <w:rsid w:val="340824FC"/>
    <w:rsid w:val="344352E2"/>
    <w:rsid w:val="34806536"/>
    <w:rsid w:val="34C74165"/>
    <w:rsid w:val="358B32A7"/>
    <w:rsid w:val="35A87494"/>
    <w:rsid w:val="361E7DB5"/>
    <w:rsid w:val="36826596"/>
    <w:rsid w:val="368C11C2"/>
    <w:rsid w:val="373C2085"/>
    <w:rsid w:val="37405933"/>
    <w:rsid w:val="37517257"/>
    <w:rsid w:val="37D72911"/>
    <w:rsid w:val="37D90587"/>
    <w:rsid w:val="380174EA"/>
    <w:rsid w:val="382C4A0B"/>
    <w:rsid w:val="383B6593"/>
    <w:rsid w:val="38402264"/>
    <w:rsid w:val="385A62F6"/>
    <w:rsid w:val="385C7F62"/>
    <w:rsid w:val="387B14EE"/>
    <w:rsid w:val="38B44A00"/>
    <w:rsid w:val="38B60A92"/>
    <w:rsid w:val="392B1FD1"/>
    <w:rsid w:val="39D32B9D"/>
    <w:rsid w:val="3A773F37"/>
    <w:rsid w:val="3A836438"/>
    <w:rsid w:val="3A914FF9"/>
    <w:rsid w:val="3A9643BE"/>
    <w:rsid w:val="3AD16D46"/>
    <w:rsid w:val="3AE27603"/>
    <w:rsid w:val="3B177CA9"/>
    <w:rsid w:val="3B705F6F"/>
    <w:rsid w:val="3BDA29D0"/>
    <w:rsid w:val="3BE33B66"/>
    <w:rsid w:val="3D2C0E87"/>
    <w:rsid w:val="3D54332A"/>
    <w:rsid w:val="3E0B0C1F"/>
    <w:rsid w:val="3E9D5A48"/>
    <w:rsid w:val="3F081602"/>
    <w:rsid w:val="3F4563B2"/>
    <w:rsid w:val="3FB11C9A"/>
    <w:rsid w:val="3FBC0B93"/>
    <w:rsid w:val="40387CC5"/>
    <w:rsid w:val="404B4B56"/>
    <w:rsid w:val="407A208B"/>
    <w:rsid w:val="407A423D"/>
    <w:rsid w:val="40984BCB"/>
    <w:rsid w:val="40DE086C"/>
    <w:rsid w:val="40FC33FC"/>
    <w:rsid w:val="41406E31"/>
    <w:rsid w:val="41780F0F"/>
    <w:rsid w:val="41896990"/>
    <w:rsid w:val="41913B31"/>
    <w:rsid w:val="41D67795"/>
    <w:rsid w:val="42240501"/>
    <w:rsid w:val="422F146D"/>
    <w:rsid w:val="427D5E63"/>
    <w:rsid w:val="429A316A"/>
    <w:rsid w:val="431762B8"/>
    <w:rsid w:val="431D262A"/>
    <w:rsid w:val="43C24475"/>
    <w:rsid w:val="44191BBB"/>
    <w:rsid w:val="446869A3"/>
    <w:rsid w:val="44BD69EB"/>
    <w:rsid w:val="44D77AAC"/>
    <w:rsid w:val="450665E4"/>
    <w:rsid w:val="456A0921"/>
    <w:rsid w:val="459E761B"/>
    <w:rsid w:val="45C91337"/>
    <w:rsid w:val="46210DD4"/>
    <w:rsid w:val="464A40C7"/>
    <w:rsid w:val="4664465E"/>
    <w:rsid w:val="466510E8"/>
    <w:rsid w:val="46944314"/>
    <w:rsid w:val="46E6047B"/>
    <w:rsid w:val="470B6133"/>
    <w:rsid w:val="475F1FDB"/>
    <w:rsid w:val="47C36A0E"/>
    <w:rsid w:val="49D071C0"/>
    <w:rsid w:val="4A753B71"/>
    <w:rsid w:val="4A8944D6"/>
    <w:rsid w:val="4AA03036"/>
    <w:rsid w:val="4ABE302B"/>
    <w:rsid w:val="4AD06DC9"/>
    <w:rsid w:val="4B1F3F5B"/>
    <w:rsid w:val="4B5A31E5"/>
    <w:rsid w:val="4B5C51AF"/>
    <w:rsid w:val="4B9C55AC"/>
    <w:rsid w:val="4BCF5981"/>
    <w:rsid w:val="4BF03B4A"/>
    <w:rsid w:val="4C653BF0"/>
    <w:rsid w:val="4C871DB8"/>
    <w:rsid w:val="4C9F663F"/>
    <w:rsid w:val="4CCC1EC1"/>
    <w:rsid w:val="4D155616"/>
    <w:rsid w:val="4D5A3970"/>
    <w:rsid w:val="4E393586"/>
    <w:rsid w:val="4E407CEE"/>
    <w:rsid w:val="4EF43951"/>
    <w:rsid w:val="4F563CC4"/>
    <w:rsid w:val="4F5A1A06"/>
    <w:rsid w:val="4F820F5D"/>
    <w:rsid w:val="4FA47125"/>
    <w:rsid w:val="4FB530E0"/>
    <w:rsid w:val="50395ABF"/>
    <w:rsid w:val="5043249A"/>
    <w:rsid w:val="50EF214F"/>
    <w:rsid w:val="514E559A"/>
    <w:rsid w:val="518A7359"/>
    <w:rsid w:val="51945DDC"/>
    <w:rsid w:val="522D1654"/>
    <w:rsid w:val="52592449"/>
    <w:rsid w:val="526F57C8"/>
    <w:rsid w:val="52950FA7"/>
    <w:rsid w:val="52A81C37"/>
    <w:rsid w:val="52E87329"/>
    <w:rsid w:val="533B38FC"/>
    <w:rsid w:val="53514ECE"/>
    <w:rsid w:val="535E4CA3"/>
    <w:rsid w:val="53702921"/>
    <w:rsid w:val="53B4545D"/>
    <w:rsid w:val="53EC7048"/>
    <w:rsid w:val="543D5452"/>
    <w:rsid w:val="54EE013A"/>
    <w:rsid w:val="54FA1CF3"/>
    <w:rsid w:val="552A1E7A"/>
    <w:rsid w:val="5579695E"/>
    <w:rsid w:val="557F0A5C"/>
    <w:rsid w:val="55B51383"/>
    <w:rsid w:val="55CF657E"/>
    <w:rsid w:val="55EE10FA"/>
    <w:rsid w:val="563D3FEB"/>
    <w:rsid w:val="56665134"/>
    <w:rsid w:val="56822D4D"/>
    <w:rsid w:val="56AB0D99"/>
    <w:rsid w:val="56BA0FDC"/>
    <w:rsid w:val="56E16569"/>
    <w:rsid w:val="571D29A6"/>
    <w:rsid w:val="57601B83"/>
    <w:rsid w:val="578C0BCA"/>
    <w:rsid w:val="57DD4F82"/>
    <w:rsid w:val="58487B57"/>
    <w:rsid w:val="586456A3"/>
    <w:rsid w:val="58711B6E"/>
    <w:rsid w:val="588E44CE"/>
    <w:rsid w:val="58AA0A84"/>
    <w:rsid w:val="58EE31BF"/>
    <w:rsid w:val="59262959"/>
    <w:rsid w:val="59376914"/>
    <w:rsid w:val="59413C36"/>
    <w:rsid w:val="5A7762C1"/>
    <w:rsid w:val="5A843DDB"/>
    <w:rsid w:val="5AA24261"/>
    <w:rsid w:val="5AB20948"/>
    <w:rsid w:val="5ADC59C5"/>
    <w:rsid w:val="5B914A01"/>
    <w:rsid w:val="5B953DC6"/>
    <w:rsid w:val="5BD448EE"/>
    <w:rsid w:val="5BD93BA2"/>
    <w:rsid w:val="5CE45005"/>
    <w:rsid w:val="5DCE05C8"/>
    <w:rsid w:val="5DD92690"/>
    <w:rsid w:val="5E176D14"/>
    <w:rsid w:val="5E6E2DD8"/>
    <w:rsid w:val="5E824AD5"/>
    <w:rsid w:val="5EA7453C"/>
    <w:rsid w:val="5EC7073A"/>
    <w:rsid w:val="5F993E84"/>
    <w:rsid w:val="5FC30F01"/>
    <w:rsid w:val="5FE32F01"/>
    <w:rsid w:val="613876CD"/>
    <w:rsid w:val="616109D2"/>
    <w:rsid w:val="619863BE"/>
    <w:rsid w:val="62375BD7"/>
    <w:rsid w:val="62C33823"/>
    <w:rsid w:val="62DE6052"/>
    <w:rsid w:val="63027F93"/>
    <w:rsid w:val="638766EA"/>
    <w:rsid w:val="63B219B9"/>
    <w:rsid w:val="63B868A3"/>
    <w:rsid w:val="642F3009"/>
    <w:rsid w:val="645E3350"/>
    <w:rsid w:val="64B11C70"/>
    <w:rsid w:val="64B12423"/>
    <w:rsid w:val="64C5396E"/>
    <w:rsid w:val="64EF2799"/>
    <w:rsid w:val="65000502"/>
    <w:rsid w:val="65842EE1"/>
    <w:rsid w:val="65F41A13"/>
    <w:rsid w:val="660724BC"/>
    <w:rsid w:val="66240220"/>
    <w:rsid w:val="665903DF"/>
    <w:rsid w:val="67095D94"/>
    <w:rsid w:val="67430B7A"/>
    <w:rsid w:val="67564D51"/>
    <w:rsid w:val="678B49FB"/>
    <w:rsid w:val="67B947B6"/>
    <w:rsid w:val="67BA52E0"/>
    <w:rsid w:val="67ED7463"/>
    <w:rsid w:val="68B21913"/>
    <w:rsid w:val="68C006D4"/>
    <w:rsid w:val="69020C5E"/>
    <w:rsid w:val="690F51B7"/>
    <w:rsid w:val="69434E61"/>
    <w:rsid w:val="69833542"/>
    <w:rsid w:val="6A040A94"/>
    <w:rsid w:val="6B4E646B"/>
    <w:rsid w:val="6B712159"/>
    <w:rsid w:val="6B99345E"/>
    <w:rsid w:val="6C5D448C"/>
    <w:rsid w:val="6C6677E4"/>
    <w:rsid w:val="6C7A503E"/>
    <w:rsid w:val="6C7F08A6"/>
    <w:rsid w:val="6CBB0D1E"/>
    <w:rsid w:val="6CE64481"/>
    <w:rsid w:val="6D835C5E"/>
    <w:rsid w:val="6DA700B4"/>
    <w:rsid w:val="6DE42225"/>
    <w:rsid w:val="6E4C0C5C"/>
    <w:rsid w:val="6EA840E4"/>
    <w:rsid w:val="6EFF5CCE"/>
    <w:rsid w:val="6F92269E"/>
    <w:rsid w:val="6FFF18E0"/>
    <w:rsid w:val="700417EE"/>
    <w:rsid w:val="7004359C"/>
    <w:rsid w:val="70741DA4"/>
    <w:rsid w:val="70B7060E"/>
    <w:rsid w:val="70E17439"/>
    <w:rsid w:val="70E84C6C"/>
    <w:rsid w:val="71ED1E0E"/>
    <w:rsid w:val="727B1B10"/>
    <w:rsid w:val="72E15E16"/>
    <w:rsid w:val="730E4732"/>
    <w:rsid w:val="733A72D5"/>
    <w:rsid w:val="744A3547"/>
    <w:rsid w:val="74A4534E"/>
    <w:rsid w:val="759C7DD3"/>
    <w:rsid w:val="75C13CDD"/>
    <w:rsid w:val="75CF1438"/>
    <w:rsid w:val="76053BCA"/>
    <w:rsid w:val="76D31F1A"/>
    <w:rsid w:val="76E47C83"/>
    <w:rsid w:val="7769462C"/>
    <w:rsid w:val="7786249D"/>
    <w:rsid w:val="778B654E"/>
    <w:rsid w:val="77C90C27"/>
    <w:rsid w:val="77E45C34"/>
    <w:rsid w:val="77F076A7"/>
    <w:rsid w:val="786F17CF"/>
    <w:rsid w:val="789A4C61"/>
    <w:rsid w:val="79786DA9"/>
    <w:rsid w:val="79C94F5E"/>
    <w:rsid w:val="79F44681"/>
    <w:rsid w:val="7A122D59"/>
    <w:rsid w:val="7A1A4658"/>
    <w:rsid w:val="7A613399"/>
    <w:rsid w:val="7A990D85"/>
    <w:rsid w:val="7B181E77"/>
    <w:rsid w:val="7B90437A"/>
    <w:rsid w:val="7C014E34"/>
    <w:rsid w:val="7C5A2796"/>
    <w:rsid w:val="7C9E2ACC"/>
    <w:rsid w:val="7CB77BE8"/>
    <w:rsid w:val="7CEF3B96"/>
    <w:rsid w:val="7D1F7C67"/>
    <w:rsid w:val="7D641B1E"/>
    <w:rsid w:val="7DBF0B02"/>
    <w:rsid w:val="7E191451"/>
    <w:rsid w:val="7E5576B9"/>
    <w:rsid w:val="7F264BB1"/>
    <w:rsid w:val="7F517E80"/>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rPr>
      <w:lang w:val="zh-CN"/>
    </w:rPr>
  </w:style>
  <w:style w:type="paragraph" w:styleId="3">
    <w:name w:val="Body Text Indent"/>
    <w:basedOn w:val="1"/>
    <w:link w:val="16"/>
    <w:qFormat/>
    <w:uiPriority w:val="0"/>
    <w:pPr>
      <w:ind w:left="420" w:firstLine="420" w:firstLineChars="200"/>
    </w:pPr>
  </w:style>
  <w:style w:type="paragraph" w:styleId="4">
    <w:name w:val="Plain Text"/>
    <w:basedOn w:val="1"/>
    <w:link w:val="15"/>
    <w:qFormat/>
    <w:uiPriority w:val="0"/>
    <w:rPr>
      <w:rFonts w:ascii="宋体" w:hAnsi="Courier New"/>
      <w:szCs w:val="20"/>
    </w:rPr>
  </w:style>
  <w:style w:type="paragraph" w:styleId="5">
    <w:name w:val="Date"/>
    <w:basedOn w:val="1"/>
    <w:next w:val="1"/>
    <w:link w:val="18"/>
    <w:semiHidden/>
    <w:unhideWhenUsed/>
    <w:qFormat/>
    <w:uiPriority w:val="99"/>
    <w:pPr>
      <w:ind w:left="100" w:leftChars="2500"/>
    </w:p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semiHidden/>
    <w:unhideWhenUsed/>
    <w:qFormat/>
    <w:uiPriority w:val="99"/>
    <w:rPr>
      <w:sz w:val="24"/>
    </w:rPr>
  </w:style>
  <w:style w:type="character" w:styleId="11">
    <w:name w:val="Strong"/>
    <w:basedOn w:val="10"/>
    <w:qFormat/>
    <w:uiPriority w:val="22"/>
    <w:rPr>
      <w:b/>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customStyle="1" w:styleId="14">
    <w:name w:val="段"/>
    <w:link w:val="17"/>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5">
    <w:name w:val="纯文本 Char"/>
    <w:basedOn w:val="10"/>
    <w:link w:val="4"/>
    <w:qFormat/>
    <w:uiPriority w:val="0"/>
    <w:rPr>
      <w:rFonts w:ascii="宋体" w:hAnsi="Courier New" w:eastAsia="宋体" w:cs="Times New Roman"/>
      <w:szCs w:val="20"/>
    </w:rPr>
  </w:style>
  <w:style w:type="character" w:customStyle="1" w:styleId="16">
    <w:name w:val="正文文本缩进 Char"/>
    <w:basedOn w:val="10"/>
    <w:link w:val="3"/>
    <w:qFormat/>
    <w:uiPriority w:val="0"/>
    <w:rPr>
      <w:rFonts w:ascii="Times New Roman" w:hAnsi="Times New Roman" w:eastAsia="宋体" w:cs="Times New Roman"/>
      <w:szCs w:val="24"/>
    </w:rPr>
  </w:style>
  <w:style w:type="character" w:customStyle="1" w:styleId="17">
    <w:name w:val="段 Char"/>
    <w:basedOn w:val="10"/>
    <w:link w:val="14"/>
    <w:qFormat/>
    <w:uiPriority w:val="0"/>
    <w:rPr>
      <w:rFonts w:ascii="宋体" w:hAnsi="Times New Roman" w:eastAsia="宋体" w:cs="Times New Roman"/>
      <w:kern w:val="0"/>
      <w:szCs w:val="20"/>
    </w:rPr>
  </w:style>
  <w:style w:type="character" w:customStyle="1" w:styleId="18">
    <w:name w:val="日期 Char"/>
    <w:basedOn w:val="10"/>
    <w:link w:val="5"/>
    <w:semiHidden/>
    <w:qFormat/>
    <w:uiPriority w:val="99"/>
    <w:rPr>
      <w:rFonts w:ascii="Times New Roman" w:hAnsi="Times New Roman" w:eastAsia="宋体" w:cs="Times New Roman"/>
      <w:szCs w:val="24"/>
    </w:rPr>
  </w:style>
  <w:style w:type="paragraph" w:styleId="19">
    <w:name w:val="List Paragraph"/>
    <w:basedOn w:val="1"/>
    <w:qFormat/>
    <w:uiPriority w:val="34"/>
    <w:pPr>
      <w:ind w:firstLine="420" w:firstLineChars="200"/>
    </w:pPr>
  </w:style>
  <w:style w:type="character" w:customStyle="1" w:styleId="20">
    <w:name w:val="批注文字 Char"/>
    <w:basedOn w:val="10"/>
    <w:link w:val="2"/>
    <w:qFormat/>
    <w:uiPriority w:val="0"/>
    <w:rPr>
      <w:rFonts w:ascii="Times New Roman" w:hAnsi="Times New Roman" w:eastAsia="宋体" w:cs="Times New Roman"/>
      <w:szCs w:val="24"/>
      <w:lang w:val="zh-CN"/>
    </w:rPr>
  </w:style>
  <w:style w:type="paragraph" w:customStyle="1" w:styleId="21">
    <w:name w:val="一级条标题"/>
    <w:next w:val="14"/>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2">
    <w:name w:val="封面标准英文名称"/>
    <w:basedOn w:val="23"/>
    <w:qFormat/>
    <w:uiPriority w:val="0"/>
    <w:pPr>
      <w:framePr w:wrap="around"/>
      <w:spacing w:before="370" w:line="400" w:lineRule="exact"/>
    </w:pPr>
    <w:rPr>
      <w:rFonts w:ascii="Times New Roman"/>
      <w:sz w:val="28"/>
      <w:szCs w:val="28"/>
    </w:rPr>
  </w:style>
  <w:style w:type="paragraph" w:customStyle="1" w:styleId="2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4C184-5F8F-405C-A550-6F3F7C3CAAC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2071</Words>
  <Characters>2217</Characters>
  <Lines>17</Lines>
  <Paragraphs>5</Paragraphs>
  <TotalTime>13</TotalTime>
  <ScaleCrop>false</ScaleCrop>
  <LinksUpToDate>false</LinksUpToDate>
  <CharactersWithSpaces>2246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2024-02-22T18:00:00Z</dcterms:created>
  <dc:creator>L</dc:creator>
  <cp:lastModifiedBy>蒋燕</cp:lastModifiedBy>
  <cp:lastPrinted>2019-09-06T08:44:00Z</cp:lastPrinted>
  <dcterms:modified xsi:type="dcterms:W3CDTF">2026-05-08T06:24:27Z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7AE2B4C7156448308A868ECCABF6BB11_13</vt:lpwstr>
  </property>
  <property fmtid="{D5CDD505-2E9C-101B-9397-08002B2CF9AE}" pid="4" name="KSOTemplateDocerSaveRecord">
    <vt:lpwstr>eyJoZGlkIjoiMThkY2U3MTFjYzA4YTM2ZTRlYjc3ZDQ3ZGU3ZjM3NWIiLCJ1c2VySWQiOiI0MDQyMDAyOTcifQ==</vt:lpwstr>
  </property>
</Properties>
</file>