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2BEEA">
      <w:pPr>
        <w:spacing w:line="360" w:lineRule="auto"/>
        <w:jc w:val="center"/>
        <w:rPr>
          <w:rFonts w:ascii="宋体" w:hAnsi="宋体"/>
          <w:sz w:val="52"/>
          <w:szCs w:val="22"/>
        </w:rPr>
      </w:pPr>
    </w:p>
    <w:p w14:paraId="5D846D27">
      <w:pPr>
        <w:spacing w:line="360" w:lineRule="auto"/>
        <w:jc w:val="center"/>
        <w:rPr>
          <w:rFonts w:ascii="宋体" w:hAnsi="宋体"/>
          <w:sz w:val="40"/>
          <w:szCs w:val="18"/>
        </w:rPr>
      </w:pPr>
      <w:r>
        <w:rPr>
          <w:rFonts w:hint="eastAsia" w:ascii="宋体" w:hAnsi="宋体"/>
          <w:sz w:val="52"/>
          <w:szCs w:val="22"/>
        </w:rPr>
        <w:t>中国工程机械工业协会团体标准</w:t>
      </w:r>
    </w:p>
    <w:p w14:paraId="68FE3034">
      <w:pPr>
        <w:pStyle w:val="2"/>
        <w:spacing w:after="0" w:line="360" w:lineRule="auto"/>
        <w:ind w:left="426" w:leftChars="202" w:right="225" w:rightChars="107" w:hanging="2"/>
        <w:jc w:val="center"/>
        <w:rPr>
          <w:rFonts w:ascii="黑体" w:eastAsia="黑体"/>
          <w:sz w:val="32"/>
          <w:szCs w:val="15"/>
        </w:rPr>
      </w:pPr>
    </w:p>
    <w:p w14:paraId="5C49B0D0">
      <w:pPr>
        <w:pStyle w:val="2"/>
        <w:spacing w:after="0" w:line="360" w:lineRule="auto"/>
        <w:ind w:left="426" w:leftChars="202" w:right="225" w:rightChars="107" w:hanging="2"/>
        <w:jc w:val="center"/>
        <w:rPr>
          <w:rFonts w:ascii="黑体" w:eastAsia="黑体"/>
          <w:sz w:val="32"/>
          <w:szCs w:val="15"/>
        </w:rPr>
      </w:pPr>
    </w:p>
    <w:p w14:paraId="43BD20B5">
      <w:pPr>
        <w:pStyle w:val="14"/>
        <w:framePr w:w="0" w:hRule="auto" w:wrap="auto" w:vAnchor="margin" w:hAnchor="text" w:xAlign="left" w:yAlign="inline"/>
        <w:spacing w:line="360" w:lineRule="auto"/>
        <w:rPr>
          <w:rFonts w:hint="default"/>
          <w:lang w:val="en-US"/>
        </w:rPr>
      </w:pPr>
      <w:bookmarkStart w:id="0" w:name="StdName"/>
      <w:r>
        <w:rPr>
          <w:rFonts w:hint="eastAsia"/>
          <w:lang w:val="en-US" w:eastAsia="zh-CN"/>
        </w:rPr>
        <w:t>钢结构安装</w:t>
      </w:r>
      <w:bookmarkEnd w:id="0"/>
      <w:r>
        <w:rPr>
          <w:rFonts w:hint="eastAsia"/>
          <w:lang w:val="en-US" w:eastAsia="zh-CN"/>
        </w:rPr>
        <w:t>无脚手架施工工艺规程</w:t>
      </w:r>
    </w:p>
    <w:p w14:paraId="25827F7A">
      <w:pPr>
        <w:pStyle w:val="14"/>
        <w:framePr w:w="0" w:hRule="auto" w:wrap="auto" w:vAnchor="margin" w:hAnchor="text" w:xAlign="left" w:yAlign="inline"/>
        <w:rPr>
          <w:rFonts w:hint="eastAsia" w:ascii="Times New Roman"/>
          <w:sz w:val="30"/>
          <w:szCs w:val="30"/>
        </w:rPr>
      </w:pPr>
      <w:r>
        <w:rPr>
          <w:rFonts w:hint="eastAsia" w:ascii="Times New Roman"/>
          <w:sz w:val="30"/>
          <w:szCs w:val="30"/>
          <w:lang w:val="en-US" w:eastAsia="zh-CN"/>
        </w:rPr>
        <w:t>Technical</w:t>
      </w:r>
      <w:r>
        <w:rPr>
          <w:rFonts w:hint="eastAsia" w:ascii="Times New Roman"/>
          <w:sz w:val="30"/>
          <w:szCs w:val="30"/>
        </w:rPr>
        <w:t xml:space="preserve"> </w:t>
      </w:r>
      <w:r>
        <w:rPr>
          <w:rFonts w:hint="eastAsia" w:ascii="Times New Roman"/>
          <w:sz w:val="30"/>
          <w:szCs w:val="30"/>
          <w:lang w:val="en-US" w:eastAsia="zh-CN"/>
        </w:rPr>
        <w:t>Specification</w:t>
      </w:r>
      <w:r>
        <w:rPr>
          <w:rFonts w:hint="eastAsia" w:ascii="Times New Roman"/>
          <w:sz w:val="30"/>
          <w:szCs w:val="30"/>
        </w:rPr>
        <w:t xml:space="preserve"> </w:t>
      </w:r>
      <w:r>
        <w:rPr>
          <w:rFonts w:hint="eastAsia" w:ascii="Times New Roman"/>
          <w:sz w:val="30"/>
          <w:szCs w:val="30"/>
          <w:lang w:val="en-US" w:eastAsia="zh-CN"/>
        </w:rPr>
        <w:t>for</w:t>
      </w:r>
      <w:r>
        <w:rPr>
          <w:rFonts w:hint="eastAsia" w:ascii="Times New Roman"/>
          <w:sz w:val="30"/>
          <w:szCs w:val="30"/>
        </w:rPr>
        <w:t xml:space="preserve"> </w:t>
      </w:r>
      <w:r>
        <w:rPr>
          <w:rFonts w:hint="eastAsia" w:ascii="Times New Roman"/>
          <w:sz w:val="30"/>
          <w:szCs w:val="30"/>
          <w:lang w:val="en-US" w:eastAsia="zh-CN"/>
        </w:rPr>
        <w:t>Non</w:t>
      </w:r>
      <w:r>
        <w:rPr>
          <w:rFonts w:hint="default" w:ascii="Times New Roman"/>
          <w:sz w:val="30"/>
          <w:szCs w:val="30"/>
          <w:lang w:val="en-US" w:eastAsia="zh-CN"/>
        </w:rPr>
        <w:t>-</w:t>
      </w:r>
      <w:r>
        <w:rPr>
          <w:rFonts w:hint="eastAsia" w:ascii="Times New Roman"/>
          <w:sz w:val="30"/>
          <w:szCs w:val="30"/>
          <w:lang w:val="en-US" w:eastAsia="zh-CN"/>
        </w:rPr>
        <w:t>s</w:t>
      </w:r>
      <w:r>
        <w:rPr>
          <w:rFonts w:hint="default" w:ascii="Times New Roman"/>
          <w:sz w:val="30"/>
          <w:szCs w:val="30"/>
          <w:lang w:val="en-US" w:eastAsia="zh-CN"/>
        </w:rPr>
        <w:t>caffold</w:t>
      </w:r>
      <w:r>
        <w:rPr>
          <w:rFonts w:hint="eastAsia" w:ascii="Times New Roman"/>
          <w:sz w:val="30"/>
          <w:szCs w:val="30"/>
        </w:rPr>
        <w:t xml:space="preserve"> </w:t>
      </w:r>
      <w:r>
        <w:rPr>
          <w:rFonts w:hint="default" w:ascii="Times New Roman"/>
          <w:sz w:val="30"/>
          <w:szCs w:val="30"/>
          <w:lang w:val="en-US" w:eastAsia="zh-CN"/>
        </w:rPr>
        <w:t xml:space="preserve">Construction of </w:t>
      </w:r>
      <w:r>
        <w:rPr>
          <w:rFonts w:hint="eastAsia" w:ascii="Times New Roman"/>
          <w:sz w:val="30"/>
          <w:szCs w:val="30"/>
          <w:lang w:val="en-US" w:eastAsia="zh-CN"/>
        </w:rPr>
        <w:t xml:space="preserve">           </w:t>
      </w:r>
      <w:r>
        <w:rPr>
          <w:rFonts w:hint="default" w:ascii="Times New Roman"/>
          <w:sz w:val="30"/>
          <w:szCs w:val="30"/>
          <w:lang w:val="en-US" w:eastAsia="zh-CN"/>
        </w:rPr>
        <w:t>Steel</w:t>
      </w:r>
      <w:r>
        <w:rPr>
          <w:rFonts w:hint="eastAsia" w:ascii="Times New Roman"/>
          <w:sz w:val="30"/>
          <w:szCs w:val="30"/>
        </w:rPr>
        <w:t xml:space="preserve"> </w:t>
      </w:r>
      <w:r>
        <w:rPr>
          <w:rFonts w:hint="default" w:ascii="Times New Roman"/>
          <w:sz w:val="30"/>
          <w:szCs w:val="30"/>
          <w:lang w:val="en-US" w:eastAsia="zh-CN"/>
        </w:rPr>
        <w:t>Structure</w:t>
      </w:r>
      <w:r>
        <w:rPr>
          <w:rFonts w:hint="eastAsia" w:ascii="Times New Roman"/>
          <w:sz w:val="30"/>
          <w:szCs w:val="30"/>
        </w:rPr>
        <w:t xml:space="preserve"> </w:t>
      </w:r>
      <w:r>
        <w:rPr>
          <w:rFonts w:hint="default" w:ascii="Times New Roman"/>
          <w:sz w:val="30"/>
          <w:szCs w:val="30"/>
          <w:lang w:val="en-US" w:eastAsia="zh-CN"/>
        </w:rPr>
        <w:t>Installation</w:t>
      </w:r>
    </w:p>
    <w:p w14:paraId="4F2D5062">
      <w:pPr>
        <w:spacing w:line="360" w:lineRule="auto"/>
        <w:jc w:val="center"/>
        <w:rPr>
          <w:rFonts w:hint="eastAsia" w:ascii="黑体" w:hAnsi="黑体" w:eastAsia="黑体"/>
          <w:sz w:val="44"/>
        </w:rPr>
      </w:pPr>
    </w:p>
    <w:p w14:paraId="3BE26C16">
      <w:pPr>
        <w:spacing w:line="360" w:lineRule="auto"/>
        <w:jc w:val="center"/>
        <w:rPr>
          <w:rFonts w:hint="eastAsia" w:ascii="黑体" w:hAnsi="黑体" w:eastAsia="黑体"/>
          <w:sz w:val="44"/>
          <w:lang w:eastAsia="zh-CN"/>
        </w:rPr>
      </w:pPr>
      <w:r>
        <w:rPr>
          <w:rFonts w:hint="eastAsia" w:ascii="黑体" w:hAnsi="黑体" w:eastAsia="黑体"/>
          <w:sz w:val="44"/>
          <w:lang w:eastAsia="zh-CN"/>
        </w:rPr>
        <w:t>（征求意见稿）</w:t>
      </w:r>
    </w:p>
    <w:p w14:paraId="1D227AC2">
      <w:pPr>
        <w:spacing w:line="360" w:lineRule="auto"/>
        <w:jc w:val="center"/>
        <w:rPr>
          <w:rFonts w:hint="eastAsia" w:ascii="黑体" w:hAnsi="黑体" w:eastAsia="黑体"/>
          <w:sz w:val="44"/>
        </w:rPr>
      </w:pPr>
    </w:p>
    <w:p w14:paraId="49E303D3">
      <w:pPr>
        <w:spacing w:line="360" w:lineRule="auto"/>
        <w:jc w:val="center"/>
        <w:rPr>
          <w:rFonts w:ascii="黑体" w:hAnsi="黑体" w:eastAsia="黑体"/>
          <w:sz w:val="44"/>
        </w:rPr>
      </w:pPr>
      <w:r>
        <w:rPr>
          <w:rFonts w:hint="eastAsia" w:ascii="黑体" w:hAnsi="黑体" w:eastAsia="黑体"/>
          <w:sz w:val="44"/>
        </w:rPr>
        <w:t>编制说明</w:t>
      </w:r>
    </w:p>
    <w:p w14:paraId="10BBEAB0">
      <w:pPr>
        <w:spacing w:line="360" w:lineRule="auto"/>
        <w:jc w:val="center"/>
        <w:rPr>
          <w:rFonts w:ascii="宋体"/>
          <w:sz w:val="36"/>
          <w:szCs w:val="22"/>
        </w:rPr>
      </w:pPr>
    </w:p>
    <w:p w14:paraId="053C080D">
      <w:pPr>
        <w:spacing w:line="360" w:lineRule="auto"/>
        <w:jc w:val="center"/>
        <w:rPr>
          <w:rFonts w:ascii="宋体"/>
          <w:sz w:val="36"/>
          <w:szCs w:val="22"/>
        </w:rPr>
      </w:pPr>
    </w:p>
    <w:p w14:paraId="511C4A9C">
      <w:pPr>
        <w:spacing w:line="360" w:lineRule="auto"/>
        <w:jc w:val="center"/>
        <w:rPr>
          <w:rFonts w:ascii="宋体"/>
          <w:sz w:val="36"/>
          <w:szCs w:val="22"/>
        </w:rPr>
      </w:pPr>
    </w:p>
    <w:p w14:paraId="747394C6">
      <w:pPr>
        <w:spacing w:line="360" w:lineRule="auto"/>
        <w:jc w:val="center"/>
        <w:rPr>
          <w:rFonts w:ascii="宋体"/>
          <w:sz w:val="36"/>
          <w:szCs w:val="22"/>
        </w:rPr>
      </w:pPr>
    </w:p>
    <w:p w14:paraId="0DC54FFF">
      <w:pPr>
        <w:spacing w:line="360" w:lineRule="auto"/>
        <w:jc w:val="center"/>
        <w:rPr>
          <w:rFonts w:ascii="宋体"/>
          <w:sz w:val="36"/>
          <w:szCs w:val="22"/>
        </w:rPr>
      </w:pPr>
    </w:p>
    <w:p w14:paraId="055904CC">
      <w:pPr>
        <w:spacing w:line="360" w:lineRule="auto"/>
        <w:jc w:val="center"/>
        <w:rPr>
          <w:rFonts w:ascii="宋体" w:hAnsi="宋体"/>
          <w:sz w:val="30"/>
        </w:rPr>
      </w:pPr>
    </w:p>
    <w:p w14:paraId="0FDFBF81">
      <w:pPr>
        <w:spacing w:line="360" w:lineRule="auto"/>
        <w:jc w:val="center"/>
        <w:rPr>
          <w:rFonts w:ascii="宋体" w:hAnsi="宋体"/>
          <w:sz w:val="30"/>
        </w:rPr>
      </w:pPr>
    </w:p>
    <w:p w14:paraId="4BEAC7A3">
      <w:pPr>
        <w:spacing w:line="360" w:lineRule="auto"/>
        <w:jc w:val="center"/>
        <w:rPr>
          <w:rFonts w:ascii="宋体" w:hAnsi="宋体"/>
          <w:sz w:val="32"/>
          <w:szCs w:val="21"/>
        </w:rPr>
      </w:pPr>
      <w:r>
        <w:rPr>
          <w:rFonts w:hint="eastAsia" w:ascii="宋体" w:hAnsi="宋体"/>
          <w:sz w:val="32"/>
          <w:szCs w:val="21"/>
        </w:rPr>
        <w:t>标准编制工作组</w:t>
      </w:r>
    </w:p>
    <w:p w14:paraId="7E76AC82">
      <w:pPr>
        <w:spacing w:line="360" w:lineRule="auto"/>
        <w:jc w:val="center"/>
        <w:rPr>
          <w:rFonts w:ascii="黑体" w:eastAsia="黑体"/>
          <w:w w:val="120"/>
          <w:sz w:val="30"/>
        </w:rPr>
      </w:pPr>
      <w:r>
        <w:rPr>
          <w:rFonts w:hint="eastAsia" w:ascii="黑体" w:eastAsia="黑体"/>
          <w:w w:val="120"/>
          <w:sz w:val="30"/>
        </w:rPr>
        <w:t>2</w:t>
      </w:r>
      <w:r>
        <w:rPr>
          <w:rFonts w:ascii="黑体" w:eastAsia="黑体"/>
          <w:w w:val="120"/>
          <w:sz w:val="30"/>
        </w:rPr>
        <w:t>02</w:t>
      </w:r>
      <w:r>
        <w:rPr>
          <w:rFonts w:hint="eastAsia" w:ascii="黑体" w:eastAsia="黑体"/>
          <w:w w:val="120"/>
          <w:sz w:val="30"/>
          <w:lang w:val="en-US" w:eastAsia="zh-CN"/>
        </w:rPr>
        <w:t>6</w:t>
      </w:r>
      <w:r>
        <w:rPr>
          <w:rFonts w:hint="eastAsia" w:ascii="黑体" w:eastAsia="黑体"/>
          <w:w w:val="120"/>
          <w:sz w:val="30"/>
        </w:rPr>
        <w:t>年</w:t>
      </w:r>
      <w:r>
        <w:rPr>
          <w:rFonts w:hint="eastAsia" w:ascii="黑体" w:eastAsia="黑体"/>
          <w:w w:val="120"/>
          <w:sz w:val="30"/>
          <w:lang w:val="en-US" w:eastAsia="zh-CN"/>
        </w:rPr>
        <w:t>7</w:t>
      </w:r>
      <w:r>
        <w:rPr>
          <w:rFonts w:hint="eastAsia" w:ascii="黑体" w:eastAsia="黑体"/>
          <w:w w:val="120"/>
          <w:sz w:val="30"/>
        </w:rPr>
        <w:t>月</w:t>
      </w:r>
    </w:p>
    <w:p w14:paraId="0BE70BFE">
      <w:pPr>
        <w:spacing w:line="360" w:lineRule="auto"/>
        <w:jc w:val="center"/>
        <w:rPr>
          <w:rFonts w:ascii="黑体" w:hAnsi="黑体" w:eastAsia="黑体" w:cs="黑体"/>
          <w:sz w:val="28"/>
          <w:szCs w:val="28"/>
        </w:rPr>
        <w:sectPr>
          <w:pgSz w:w="11906" w:h="16838"/>
          <w:pgMar w:top="1440" w:right="1800" w:bottom="1440" w:left="1800" w:header="851" w:footer="992" w:gutter="0"/>
          <w:cols w:space="425" w:num="1"/>
          <w:docGrid w:type="lines" w:linePitch="312" w:charSpace="0"/>
        </w:sectPr>
      </w:pPr>
    </w:p>
    <w:p w14:paraId="3FCCB934">
      <w:pPr>
        <w:pStyle w:val="3"/>
        <w:spacing w:line="400" w:lineRule="exact"/>
        <w:ind w:firstLine="0" w:firstLineChars="0"/>
        <w:jc w:val="center"/>
        <w:rPr>
          <w:rFonts w:hint="eastAsia" w:ascii="黑体" w:hAnsi="宋体" w:eastAsia="黑体" w:cs="Times New Roman"/>
          <w:sz w:val="30"/>
          <w:szCs w:val="30"/>
          <w:highlight w:val="none"/>
          <w:lang w:val="en-US" w:eastAsia="zh-CN"/>
        </w:rPr>
      </w:pPr>
      <w:r>
        <w:rPr>
          <w:rFonts w:hint="eastAsia" w:ascii="黑体" w:hAnsi="宋体" w:eastAsia="黑体" w:cs="Times New Roman"/>
          <w:sz w:val="30"/>
          <w:szCs w:val="30"/>
          <w:highlight w:val="none"/>
          <w:lang w:val="en-US" w:eastAsia="zh-CN"/>
        </w:rPr>
        <w:t>《钢结构安装无脚手架施工工艺规程》（征求意见稿）</w:t>
      </w:r>
    </w:p>
    <w:p w14:paraId="62452130">
      <w:pPr>
        <w:pStyle w:val="3"/>
        <w:spacing w:line="400" w:lineRule="exact"/>
        <w:ind w:firstLine="0" w:firstLineChars="0"/>
        <w:jc w:val="center"/>
        <w:rPr>
          <w:rFonts w:hint="eastAsia" w:ascii="黑体" w:hAnsi="宋体" w:eastAsia="黑体" w:cs="Times New Roman"/>
          <w:kern w:val="2"/>
          <w:sz w:val="30"/>
          <w:szCs w:val="30"/>
          <w:highlight w:val="none"/>
          <w:lang w:val="en-US" w:eastAsia="zh-CN" w:bidi="ar-SA"/>
        </w:rPr>
      </w:pPr>
      <w:r>
        <w:rPr>
          <w:rFonts w:hint="eastAsia" w:ascii="黑体" w:hAnsi="宋体" w:eastAsia="黑体" w:cs="Times New Roman"/>
          <w:kern w:val="2"/>
          <w:sz w:val="30"/>
          <w:szCs w:val="30"/>
          <w:highlight w:val="none"/>
          <w:lang w:val="en-US" w:eastAsia="zh-CN" w:bidi="ar-SA"/>
        </w:rPr>
        <w:t>标准编制说明</w:t>
      </w:r>
    </w:p>
    <w:p w14:paraId="36298CB4">
      <w:pPr>
        <w:pStyle w:val="3"/>
        <w:keepNext w:val="0"/>
        <w:keepLines w:val="0"/>
        <w:pageBreakBefore w:val="0"/>
        <w:kinsoku/>
        <w:wordWrap/>
        <w:overflowPunct/>
        <w:topLinePunct w:val="0"/>
        <w:bidi w:val="0"/>
        <w:spacing w:line="420" w:lineRule="exact"/>
        <w:ind w:firstLine="0" w:firstLineChars="0"/>
        <w:jc w:val="center"/>
        <w:rPr>
          <w:rFonts w:hint="eastAsia" w:ascii="黑体" w:hAnsi="宋体" w:eastAsia="黑体" w:cs="Times New Roman"/>
          <w:sz w:val="30"/>
          <w:szCs w:val="30"/>
          <w:highlight w:val="none"/>
          <w:lang w:val="en-US" w:eastAsia="zh-CN"/>
        </w:rPr>
      </w:pPr>
    </w:p>
    <w:p w14:paraId="2DD5B4CE">
      <w:pPr>
        <w:keepNext w:val="0"/>
        <w:keepLines w:val="0"/>
        <w:pageBreakBefore w:val="0"/>
        <w:kinsoku/>
        <w:wordWrap/>
        <w:overflowPunct/>
        <w:topLinePunct w:val="0"/>
        <w:bidi w:val="0"/>
        <w:spacing w:line="336" w:lineRule="auto"/>
        <w:rPr>
          <w:rFonts w:hint="eastAsia" w:ascii="宋体" w:hAnsi="宋体" w:eastAsia="宋体" w:cs="宋体"/>
          <w:b/>
          <w:bCs/>
          <w:sz w:val="24"/>
          <w:szCs w:val="24"/>
          <w:lang w:eastAsia="zh-CN"/>
        </w:rPr>
      </w:pPr>
      <w:r>
        <w:rPr>
          <w:rFonts w:hint="eastAsia" w:ascii="宋体" w:hAnsi="宋体" w:eastAsia="宋体" w:cs="宋体"/>
          <w:b/>
          <w:bCs/>
          <w:sz w:val="24"/>
          <w:szCs w:val="24"/>
        </w:rPr>
        <w:t>一、</w:t>
      </w:r>
      <w:r>
        <w:rPr>
          <w:rFonts w:hint="eastAsia" w:ascii="宋体" w:hAnsi="宋体" w:eastAsia="宋体" w:cs="宋体"/>
          <w:b/>
          <w:bCs/>
          <w:sz w:val="24"/>
          <w:szCs w:val="24"/>
          <w:lang w:eastAsia="zh-CN"/>
        </w:rPr>
        <w:t>工作简况</w:t>
      </w:r>
    </w:p>
    <w:p w14:paraId="6587FA7E">
      <w:pPr>
        <w:keepNext w:val="0"/>
        <w:keepLines w:val="0"/>
        <w:pageBreakBefore w:val="0"/>
        <w:kinsoku/>
        <w:wordWrap/>
        <w:overflowPunct/>
        <w:topLinePunct w:val="0"/>
        <w:bidi w:val="0"/>
        <w:spacing w:line="336"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标准任务来源、主要参加单位</w:t>
      </w:r>
    </w:p>
    <w:p w14:paraId="1FD39D84">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钢结构安装无脚手架施工工艺规程</w:t>
      </w:r>
      <w:r>
        <w:rPr>
          <w:rFonts w:hint="eastAsia" w:ascii="宋体" w:hAnsi="宋体" w:eastAsia="宋体" w:cs="宋体"/>
          <w:sz w:val="24"/>
          <w:szCs w:val="24"/>
        </w:rPr>
        <w:t>》是根据中国工程机械工业协会 202</w:t>
      </w:r>
      <w:r>
        <w:rPr>
          <w:rFonts w:hint="eastAsia" w:ascii="宋体" w:hAnsi="宋体" w:eastAsia="宋体" w:cs="宋体"/>
          <w:sz w:val="24"/>
          <w:szCs w:val="24"/>
          <w:lang w:val="en-US" w:eastAsia="zh-CN"/>
        </w:rPr>
        <w:t>5</w:t>
      </w:r>
      <w:r>
        <w:rPr>
          <w:rFonts w:hint="eastAsia" w:ascii="宋体" w:hAnsi="宋体" w:eastAsia="宋体" w:cs="宋体"/>
          <w:sz w:val="24"/>
          <w:szCs w:val="24"/>
        </w:rPr>
        <w:t>年团体标准工作计划，</w:t>
      </w:r>
      <w:r>
        <w:rPr>
          <w:rFonts w:hint="eastAsia" w:ascii="宋体" w:hAnsi="宋体" w:eastAsia="宋体" w:cs="宋体"/>
          <w:sz w:val="24"/>
          <w:szCs w:val="24"/>
          <w:lang w:val="en-US" w:eastAsia="zh-CN"/>
        </w:rPr>
        <w:t>由</w:t>
      </w:r>
      <w:r>
        <w:rPr>
          <w:rFonts w:hint="eastAsia" w:ascii="宋体" w:hAnsi="宋体" w:eastAsia="宋体" w:cs="宋体"/>
          <w:sz w:val="24"/>
          <w:szCs w:val="24"/>
        </w:rPr>
        <w:t>中国工程机械工业协会装修与高空作业机械分会组织、北京凯博擦窗机械科技有限公司牵头编写的团体标准。</w:t>
      </w:r>
    </w:p>
    <w:p w14:paraId="69A02BA4">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标准制订背景：随着社会进步和行业发展，T/CCMA 0019—2011《</w:t>
      </w:r>
      <w:r>
        <w:rPr>
          <w:rFonts w:hint="eastAsia" w:ascii="宋体" w:hAnsi="宋体" w:eastAsia="宋体" w:cs="宋体"/>
          <w:sz w:val="24"/>
          <w:szCs w:val="24"/>
          <w:lang w:eastAsia="zh-CN"/>
        </w:rPr>
        <w:t>钢结构安装无脚手架施工</w:t>
      </w:r>
      <w:r>
        <w:rPr>
          <w:rFonts w:hint="eastAsia" w:ascii="宋体" w:hAnsi="宋体" w:eastAsia="宋体" w:cs="宋体"/>
          <w:sz w:val="24"/>
          <w:szCs w:val="24"/>
          <w:lang w:val="en-US" w:eastAsia="zh-CN"/>
        </w:rPr>
        <w:t>工法</w:t>
      </w:r>
      <w:r>
        <w:rPr>
          <w:rFonts w:hint="eastAsia" w:ascii="宋体" w:hAnsi="宋体" w:eastAsia="宋体" w:cs="宋体"/>
          <w:sz w:val="24"/>
          <w:szCs w:val="24"/>
        </w:rPr>
        <w:t>》的格式已不满足GB/T 1.1—2020的要求，相关规定已不适应新形势的需要，为了更好</w:t>
      </w:r>
      <w:r>
        <w:rPr>
          <w:rFonts w:hint="eastAsia" w:ascii="宋体" w:hAnsi="宋体" w:eastAsia="宋体" w:cs="宋体"/>
          <w:sz w:val="24"/>
          <w:szCs w:val="24"/>
          <w:lang w:eastAsia="zh-CN"/>
        </w:rPr>
        <w:t>地</w:t>
      </w:r>
      <w:r>
        <w:rPr>
          <w:rFonts w:hint="eastAsia" w:ascii="宋体" w:hAnsi="宋体" w:eastAsia="宋体" w:cs="宋体"/>
          <w:sz w:val="24"/>
          <w:szCs w:val="24"/>
        </w:rPr>
        <w:t>服务行业发展，需要对原标准进行修订。为此，提供适应新工艺、新技术、新材料、新设备的详细、明确、统一的钢结构无脚手架施工</w:t>
      </w:r>
      <w:r>
        <w:rPr>
          <w:rFonts w:hint="eastAsia" w:ascii="宋体" w:hAnsi="宋体" w:eastAsia="宋体" w:cs="宋体"/>
          <w:sz w:val="24"/>
          <w:szCs w:val="24"/>
          <w:lang w:val="en-US" w:eastAsia="zh-CN"/>
        </w:rPr>
        <w:t>工艺规程</w:t>
      </w:r>
      <w:r>
        <w:rPr>
          <w:rFonts w:hint="eastAsia" w:ascii="宋体" w:hAnsi="宋体" w:eastAsia="宋体" w:cs="宋体"/>
          <w:sz w:val="24"/>
          <w:szCs w:val="24"/>
        </w:rPr>
        <w:t>，有助于确保无脚手架情况下钢结构安装的安全可靠性，这既是当务之急，也具有重要意义。</w:t>
      </w:r>
    </w:p>
    <w:p w14:paraId="34823C20">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主要编写单位有：北京凯博擦窗机械科技有限公司、中国工程机械工业协会装修与高空作业机械分会、北京</w:t>
      </w:r>
      <w:r>
        <w:rPr>
          <w:rFonts w:hint="eastAsia" w:ascii="宋体" w:hAnsi="宋体" w:eastAsia="宋体" w:cs="宋体"/>
          <w:sz w:val="24"/>
          <w:szCs w:val="24"/>
          <w:lang w:val="en-US" w:eastAsia="zh-CN"/>
        </w:rPr>
        <w:t>凯博擦窗机械科技有限公司</w:t>
      </w:r>
      <w:r>
        <w:rPr>
          <w:rFonts w:hint="eastAsia" w:ascii="宋体" w:hAnsi="宋体" w:eastAsia="宋体" w:cs="宋体"/>
          <w:sz w:val="24"/>
          <w:szCs w:val="24"/>
        </w:rPr>
        <w:t>、</w:t>
      </w:r>
      <w:r>
        <w:rPr>
          <w:rFonts w:hint="eastAsia" w:ascii="宋体" w:hAnsi="宋体" w:eastAsia="宋体" w:cs="宋体"/>
          <w:sz w:val="24"/>
          <w:szCs w:val="24"/>
          <w:lang w:val="en-US" w:eastAsia="zh-CN"/>
        </w:rPr>
        <w:t>徐工消防安全装备有限公司、湖南星邦智能装备股份有限公司、杭州爱知工程车辆有限公司、江苏柳工机械有限公司、上海万润达机电科技发展有限公司、建研机械检验检测（北京）有限公司 、杭州赛奇机械股份有限公司、中咨工程管理咨询有限公司。</w:t>
      </w:r>
    </w:p>
    <w:p w14:paraId="456DB165">
      <w:pPr>
        <w:keepNext w:val="0"/>
        <w:keepLines w:val="0"/>
        <w:pageBreakBefore w:val="0"/>
        <w:kinsoku/>
        <w:wordWrap/>
        <w:overflowPunct/>
        <w:topLinePunct w:val="0"/>
        <w:bidi w:val="0"/>
        <w:spacing w:line="336" w:lineRule="auto"/>
        <w:rPr>
          <w:rFonts w:hint="eastAsia" w:ascii="宋体" w:hAnsi="宋体" w:eastAsia="宋体" w:cs="宋体"/>
          <w:b/>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编写过程</w:t>
      </w:r>
    </w:p>
    <w:p w14:paraId="5BB8015B">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7</w:t>
      </w:r>
      <w:r>
        <w:rPr>
          <w:rFonts w:hint="eastAsia" w:ascii="宋体" w:hAnsi="宋体" w:eastAsia="宋体" w:cs="宋体"/>
          <w:sz w:val="24"/>
          <w:szCs w:val="24"/>
        </w:rPr>
        <w:t>月，标准立项后，主编单位</w:t>
      </w:r>
      <w:bookmarkStart w:id="1" w:name="_GoBack"/>
      <w:bookmarkEnd w:id="1"/>
      <w:r>
        <w:rPr>
          <w:rFonts w:hint="eastAsia" w:ascii="宋体" w:hAnsi="宋体" w:eastAsia="宋体" w:cs="宋体"/>
          <w:sz w:val="24"/>
          <w:szCs w:val="24"/>
        </w:rPr>
        <w:t>牵头成立由</w:t>
      </w:r>
      <w:r>
        <w:rPr>
          <w:rFonts w:hint="eastAsia" w:ascii="宋体" w:hAnsi="宋体" w:eastAsia="宋体" w:cs="宋体"/>
          <w:sz w:val="24"/>
          <w:szCs w:val="24"/>
          <w:lang w:val="en-US" w:eastAsia="zh-CN"/>
        </w:rPr>
        <w:t>高空作业设备</w:t>
      </w:r>
      <w:r>
        <w:rPr>
          <w:rFonts w:hint="eastAsia" w:ascii="宋体" w:hAnsi="宋体" w:eastAsia="宋体" w:cs="宋体"/>
          <w:sz w:val="24"/>
          <w:szCs w:val="24"/>
        </w:rPr>
        <w:t>设计制造单位</w:t>
      </w:r>
      <w:r>
        <w:rPr>
          <w:rFonts w:hint="eastAsia" w:ascii="宋体" w:hAnsi="宋体" w:eastAsia="宋体" w:cs="宋体"/>
          <w:sz w:val="24"/>
          <w:szCs w:val="24"/>
          <w:lang w:val="en-US" w:eastAsia="zh-CN"/>
        </w:rPr>
        <w:t>和钢结构各参建单位的</w:t>
      </w:r>
      <w:r>
        <w:rPr>
          <w:rFonts w:hint="eastAsia" w:ascii="宋体" w:hAnsi="宋体" w:eastAsia="宋体" w:cs="宋体"/>
          <w:sz w:val="24"/>
          <w:szCs w:val="24"/>
        </w:rPr>
        <w:t>代表组成</w:t>
      </w:r>
      <w:r>
        <w:rPr>
          <w:rFonts w:hint="eastAsia" w:ascii="宋体" w:hAnsi="宋体" w:eastAsia="宋体" w:cs="宋体"/>
          <w:sz w:val="24"/>
          <w:szCs w:val="24"/>
          <w:lang w:eastAsia="zh-CN"/>
        </w:rPr>
        <w:t>的标</w:t>
      </w:r>
      <w:r>
        <w:rPr>
          <w:rFonts w:hint="eastAsia" w:ascii="宋体" w:hAnsi="宋体" w:eastAsia="宋体" w:cs="宋体"/>
          <w:sz w:val="24"/>
          <w:szCs w:val="24"/>
        </w:rPr>
        <w:t>准编制组，具有充分的代表性。随后编制组针对国内主要</w:t>
      </w:r>
      <w:r>
        <w:rPr>
          <w:rFonts w:hint="eastAsia" w:ascii="宋体" w:hAnsi="宋体" w:eastAsia="宋体" w:cs="宋体"/>
          <w:sz w:val="24"/>
          <w:szCs w:val="24"/>
          <w:lang w:val="en-US" w:eastAsia="zh-CN"/>
        </w:rPr>
        <w:t>钢结构安装</w:t>
      </w:r>
      <w:r>
        <w:rPr>
          <w:rFonts w:hint="eastAsia" w:ascii="宋体" w:hAnsi="宋体" w:eastAsia="宋体" w:cs="宋体"/>
          <w:sz w:val="24"/>
          <w:szCs w:val="24"/>
        </w:rPr>
        <w:t>现状和</w:t>
      </w:r>
      <w:r>
        <w:rPr>
          <w:rFonts w:hint="eastAsia" w:ascii="宋体" w:hAnsi="宋体" w:eastAsia="宋体" w:cs="宋体"/>
          <w:sz w:val="24"/>
          <w:szCs w:val="24"/>
          <w:lang w:val="en-US" w:eastAsia="zh-CN"/>
        </w:rPr>
        <w:t>施工参建各方</w:t>
      </w:r>
      <w:r>
        <w:rPr>
          <w:rFonts w:hint="eastAsia" w:ascii="宋体" w:hAnsi="宋体" w:eastAsia="宋体" w:cs="宋体"/>
          <w:sz w:val="24"/>
          <w:szCs w:val="24"/>
        </w:rPr>
        <w:t>对</w:t>
      </w:r>
      <w:r>
        <w:rPr>
          <w:rFonts w:hint="eastAsia" w:ascii="宋体" w:hAnsi="宋体" w:eastAsia="宋体" w:cs="宋体"/>
          <w:sz w:val="24"/>
          <w:szCs w:val="24"/>
          <w:lang w:val="en-US" w:eastAsia="zh-CN"/>
        </w:rPr>
        <w:t>施工工法</w:t>
      </w:r>
      <w:r>
        <w:rPr>
          <w:rFonts w:hint="eastAsia" w:ascii="宋体" w:hAnsi="宋体" w:eastAsia="宋体" w:cs="宋体"/>
          <w:sz w:val="24"/>
          <w:szCs w:val="24"/>
        </w:rPr>
        <w:t>的要求和希望，进行了广泛的调查、资料收集、分析研究，并参考了有关的标准。</w:t>
      </w:r>
    </w:p>
    <w:p w14:paraId="5ABE16E6">
      <w:pPr>
        <w:keepNext w:val="0"/>
        <w:keepLines w:val="0"/>
        <w:pageBreakBefore w:val="0"/>
        <w:kinsoku/>
        <w:wordWrap/>
        <w:overflowPunct/>
        <w:topLinePunct w:val="0"/>
        <w:autoSpaceDE w:val="0"/>
        <w:autoSpaceDN w:val="0"/>
        <w:bidi w:val="0"/>
        <w:spacing w:line="336" w:lineRule="auto"/>
        <w:ind w:firstLine="43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在广泛调研基础上，制订标准编写大纲，起草第一稿讨论稿，于202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月2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在北京丰荣君华酒店会议室</w:t>
      </w:r>
      <w:r>
        <w:rPr>
          <w:rFonts w:hint="eastAsia" w:ascii="宋体" w:hAnsi="宋体" w:eastAsia="宋体" w:cs="宋体"/>
          <w:color w:val="auto"/>
          <w:sz w:val="24"/>
          <w:szCs w:val="24"/>
        </w:rPr>
        <w:t>召开了《</w:t>
      </w:r>
      <w:r>
        <w:rPr>
          <w:rFonts w:hint="eastAsia" w:ascii="宋体" w:hAnsi="宋体" w:eastAsia="宋体" w:cs="宋体"/>
          <w:color w:val="auto"/>
          <w:sz w:val="24"/>
          <w:szCs w:val="24"/>
          <w:lang w:val="en-US" w:eastAsia="zh-CN"/>
        </w:rPr>
        <w:t>钢结构安装无脚手架施工工艺规程</w:t>
      </w:r>
      <w:r>
        <w:rPr>
          <w:rFonts w:hint="eastAsia" w:ascii="宋体" w:hAnsi="宋体" w:eastAsia="宋体" w:cs="宋体"/>
          <w:color w:val="auto"/>
          <w:sz w:val="24"/>
          <w:szCs w:val="24"/>
        </w:rPr>
        <w:t>》第一次编写工作会议。与会代表针对标准框架结构、主要内容进行了充分交流，对标准框架和主要章节的设立形成一致性意见，对</w:t>
      </w:r>
      <w:r>
        <w:rPr>
          <w:rFonts w:hint="eastAsia" w:ascii="宋体" w:hAnsi="宋体" w:eastAsia="宋体" w:cs="宋体"/>
          <w:color w:val="auto"/>
          <w:sz w:val="24"/>
          <w:szCs w:val="24"/>
          <w:lang w:val="en-US" w:eastAsia="zh-CN"/>
        </w:rPr>
        <w:t>无脚手架施工中的</w:t>
      </w:r>
      <w:r>
        <w:rPr>
          <w:rFonts w:hint="eastAsia" w:ascii="宋体" w:hAnsi="宋体" w:eastAsia="宋体" w:cs="宋体"/>
          <w:color w:val="auto"/>
          <w:sz w:val="24"/>
          <w:szCs w:val="24"/>
        </w:rPr>
        <w:t>安</w:t>
      </w:r>
      <w:r>
        <w:rPr>
          <w:rFonts w:hint="eastAsia" w:ascii="宋体" w:hAnsi="宋体" w:eastAsia="宋体" w:cs="宋体"/>
          <w:color w:val="auto"/>
          <w:sz w:val="24"/>
          <w:szCs w:val="24"/>
          <w:lang w:val="en-US" w:eastAsia="zh-CN"/>
        </w:rPr>
        <w:t>全防范措施、维护保养等内容的设置和编写原则进行热烈讨论，并形成初步意见，并把《钢结构安装无脚手架施工工法》的名称更换为《钢结构安装无脚手架施工工艺规程》。标准修订工作组于2026年6月完成了修订征求意见稿。</w:t>
      </w:r>
    </w:p>
    <w:p w14:paraId="391C2951">
      <w:pPr>
        <w:pStyle w:val="20"/>
        <w:keepNext w:val="0"/>
        <w:keepLines w:val="0"/>
        <w:pageBreakBefore w:val="0"/>
        <w:numPr>
          <w:ilvl w:val="0"/>
          <w:numId w:val="0"/>
        </w:numPr>
        <w:kinsoku/>
        <w:wordWrap/>
        <w:overflowPunct/>
        <w:topLinePunct w:val="0"/>
        <w:bidi w:val="0"/>
        <w:spacing w:line="336" w:lineRule="auto"/>
        <w:rPr>
          <w:rFonts w:hint="eastAsia" w:ascii="宋体" w:hAnsi="宋体" w:eastAsia="宋体" w:cs="宋体"/>
          <w:b/>
          <w:sz w:val="24"/>
          <w:szCs w:val="24"/>
        </w:rPr>
      </w:pPr>
      <w:r>
        <w:rPr>
          <w:rFonts w:hint="eastAsia" w:ascii="宋体" w:hAnsi="宋体" w:eastAsia="宋体" w:cs="宋体"/>
          <w:b/>
          <w:sz w:val="24"/>
          <w:szCs w:val="24"/>
          <w:lang w:eastAsia="zh-CN"/>
        </w:rPr>
        <w:t>二、</w:t>
      </w:r>
      <w:r>
        <w:rPr>
          <w:rFonts w:hint="eastAsia" w:ascii="宋体" w:hAnsi="宋体" w:eastAsia="宋体" w:cs="宋体"/>
          <w:b/>
          <w:sz w:val="24"/>
          <w:szCs w:val="24"/>
        </w:rPr>
        <w:t>标准编制原则和主要内容</w:t>
      </w:r>
    </w:p>
    <w:p w14:paraId="67600F78">
      <w:pPr>
        <w:pStyle w:val="20"/>
        <w:keepNext w:val="0"/>
        <w:keepLines w:val="0"/>
        <w:pageBreakBefore w:val="0"/>
        <w:numPr>
          <w:ilvl w:val="0"/>
          <w:numId w:val="0"/>
        </w:numPr>
        <w:kinsoku/>
        <w:wordWrap/>
        <w:overflowPunct/>
        <w:topLinePunct w:val="0"/>
        <w:bidi w:val="0"/>
        <w:spacing w:line="336" w:lineRule="auto"/>
        <w:ind w:leftChars="0"/>
        <w:rPr>
          <w:rFonts w:hint="eastAsia" w:ascii="宋体" w:hAnsi="宋体" w:eastAsia="宋体" w:cs="宋体"/>
          <w:b/>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标准编制原则</w:t>
      </w:r>
    </w:p>
    <w:p w14:paraId="64669835">
      <w:pPr>
        <w:keepNext w:val="0"/>
        <w:keepLines w:val="0"/>
        <w:pageBreakBefore w:val="0"/>
        <w:kinsoku/>
        <w:wordWrap/>
        <w:overflowPunct/>
        <w:topLinePunct w:val="0"/>
        <w:autoSpaceDE w:val="0"/>
        <w:autoSpaceDN w:val="0"/>
        <w:bidi w:val="0"/>
        <w:spacing w:line="336" w:lineRule="auto"/>
        <w:ind w:firstLine="43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在编制过程中，本着以下原则对标准进行了起草：</w:t>
      </w:r>
    </w:p>
    <w:p w14:paraId="6BEF1BA5">
      <w:pPr>
        <w:keepNext w:val="0"/>
        <w:keepLines w:val="0"/>
        <w:pageBreakBefore w:val="0"/>
        <w:kinsoku/>
        <w:wordWrap/>
        <w:overflowPunct/>
        <w:topLinePunct w:val="0"/>
        <w:autoSpaceDE w:val="0"/>
        <w:autoSpaceDN w:val="0"/>
        <w:bidi w:val="0"/>
        <w:spacing w:line="336" w:lineRule="auto"/>
        <w:ind w:firstLine="43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——按照GB/T 1.1-2020《标准化工作导则 第1部分：标准化文件的结构和起草规则》给出的规则进行编制。标准编制工作遵循“面向市场、服务产业、自主制定、适时推出”的原则，标准制定与企业推进、应用推广相结合，合理地确定标准的适用范围；技术内容体现国家、行业的技术经济政策；技术数据和参数有可靠的依据并与现行国家相关标准协调；准确反映生产、建设的实践经验，能够指导实际工作，并具有一定的先进性；</w:t>
      </w:r>
    </w:p>
    <w:p w14:paraId="53F8331F">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——广泛征求相关企业以及用户等单位的意见和建议，在协商一致的基础上，结合我国多年来</w:t>
      </w:r>
      <w:r>
        <w:rPr>
          <w:rFonts w:hint="eastAsia" w:ascii="宋体" w:hAnsi="宋体" w:eastAsia="宋体" w:cs="宋体"/>
          <w:sz w:val="24"/>
          <w:szCs w:val="24"/>
          <w:lang w:eastAsia="zh-CN"/>
        </w:rPr>
        <w:t>的</w:t>
      </w:r>
      <w:r>
        <w:rPr>
          <w:rFonts w:hint="eastAsia" w:ascii="宋体" w:hAnsi="宋体" w:eastAsia="宋体" w:cs="宋体"/>
          <w:sz w:val="24"/>
          <w:szCs w:val="24"/>
        </w:rPr>
        <w:t>实践经验以及理论研究，本着科学、严谨的态度修订标准。在标准内容表达科学、准确的同时，力求语言简练，通俗易懂。</w:t>
      </w:r>
    </w:p>
    <w:p w14:paraId="262D3D18">
      <w:pPr>
        <w:pStyle w:val="20"/>
        <w:keepNext w:val="0"/>
        <w:keepLines w:val="0"/>
        <w:pageBreakBefore w:val="0"/>
        <w:numPr>
          <w:ilvl w:val="0"/>
          <w:numId w:val="0"/>
        </w:numPr>
        <w:kinsoku/>
        <w:wordWrap/>
        <w:overflowPunct/>
        <w:topLinePunct w:val="0"/>
        <w:bidi w:val="0"/>
        <w:spacing w:line="336" w:lineRule="auto"/>
        <w:ind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2.标准的主要内容</w:t>
      </w:r>
    </w:p>
    <w:p w14:paraId="7ED8A1B8">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钢结构安装无脚手架施工工艺规程</w:t>
      </w:r>
      <w:r>
        <w:rPr>
          <w:rFonts w:hint="eastAsia" w:ascii="宋体" w:hAnsi="宋体" w:eastAsia="宋体" w:cs="宋体"/>
          <w:sz w:val="24"/>
          <w:szCs w:val="24"/>
        </w:rPr>
        <w:t>》的主要内容包括</w:t>
      </w:r>
      <w:r>
        <w:rPr>
          <w:rFonts w:hint="eastAsia" w:ascii="宋体" w:hAnsi="宋体" w:eastAsia="宋体" w:cs="宋体"/>
          <w:sz w:val="24"/>
          <w:szCs w:val="24"/>
          <w:lang w:val="en-US" w:eastAsia="zh-CN"/>
        </w:rPr>
        <w:t>前言、适用范围、规范性引用文件、术语和定义，施工机械配置与选型</w:t>
      </w:r>
      <w:r>
        <w:rPr>
          <w:rFonts w:hint="eastAsia" w:ascii="宋体" w:hAnsi="宋体" w:eastAsia="宋体" w:cs="宋体"/>
          <w:sz w:val="24"/>
          <w:szCs w:val="24"/>
        </w:rPr>
        <w:t>、</w:t>
      </w:r>
      <w:r>
        <w:rPr>
          <w:rFonts w:hint="eastAsia" w:ascii="宋体" w:hAnsi="宋体" w:eastAsia="宋体" w:cs="宋体"/>
          <w:sz w:val="24"/>
          <w:szCs w:val="24"/>
          <w:lang w:val="en-US" w:eastAsia="zh-CN"/>
        </w:rPr>
        <w:t>施工准备及操作要点</w:t>
      </w:r>
      <w:r>
        <w:rPr>
          <w:rFonts w:hint="eastAsia" w:ascii="宋体" w:hAnsi="宋体" w:eastAsia="宋体" w:cs="宋体"/>
          <w:sz w:val="24"/>
          <w:szCs w:val="24"/>
        </w:rPr>
        <w:t>、</w:t>
      </w:r>
      <w:r>
        <w:rPr>
          <w:rFonts w:hint="eastAsia" w:ascii="宋体" w:hAnsi="宋体" w:eastAsia="宋体" w:cs="宋体"/>
          <w:sz w:val="24"/>
          <w:szCs w:val="24"/>
          <w:lang w:val="en-US" w:eastAsia="zh-CN"/>
        </w:rPr>
        <w:t>质量标准及质量控制措施</w:t>
      </w:r>
      <w:r>
        <w:rPr>
          <w:rFonts w:hint="eastAsia" w:ascii="宋体" w:hAnsi="宋体" w:eastAsia="宋体" w:cs="宋体"/>
          <w:sz w:val="24"/>
          <w:szCs w:val="24"/>
        </w:rPr>
        <w:t>、</w:t>
      </w:r>
      <w:r>
        <w:rPr>
          <w:rFonts w:hint="eastAsia" w:ascii="宋体" w:hAnsi="宋体" w:eastAsia="宋体" w:cs="宋体"/>
          <w:sz w:val="24"/>
          <w:szCs w:val="24"/>
          <w:lang w:val="en-US" w:eastAsia="zh-CN"/>
        </w:rPr>
        <w:t>机械设备绿色施工与环保控制、机械设备监测。</w:t>
      </w:r>
    </w:p>
    <w:p w14:paraId="6CC27654">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主要内容变化如下：</w:t>
      </w:r>
    </w:p>
    <w:p w14:paraId="6A843B77">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增加了不适用本标准的情况，增加了术语“无脚手架施工”、“移动式升降工作平台”（见1、3，2011年版的1、3）；</w:t>
      </w:r>
    </w:p>
    <w:p w14:paraId="715C30B9">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删除了3工法特点和4工艺原理（2011年版的3、4）；</w:t>
      </w:r>
    </w:p>
    <w:p w14:paraId="4871280E">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更改了施工工艺规程的准备工作（见4.2，2011年版的5.2）；</w:t>
      </w:r>
    </w:p>
    <w:p w14:paraId="78C628BB">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删除了6主要施工机具与设备（见2011年版的6）；</w:t>
      </w:r>
    </w:p>
    <w:p w14:paraId="7BF80B1E">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更改了7.2质量控制措施的内容（见6.2，2011年版的7.2）；</w:t>
      </w:r>
    </w:p>
    <w:p w14:paraId="1922833D">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删除了8安全措施（见2011年版的8）；</w:t>
      </w:r>
    </w:p>
    <w:p w14:paraId="65159421">
      <w:pPr>
        <w:keepNext w:val="0"/>
        <w:keepLines w:val="0"/>
        <w:pageBreakBefore w:val="0"/>
        <w:kinsoku/>
        <w:wordWrap/>
        <w:overflowPunct/>
        <w:topLinePunct w:val="0"/>
        <w:bidi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删除了9环保措施、增加了6机械设备绿色施工与环保控制（见7，2011年版的9）；</w:t>
      </w:r>
    </w:p>
    <w:p w14:paraId="3468E015">
      <w:pPr>
        <w:pStyle w:val="20"/>
        <w:keepNext w:val="0"/>
        <w:keepLines w:val="0"/>
        <w:pageBreakBefore w:val="0"/>
        <w:numPr>
          <w:ilvl w:val="0"/>
          <w:numId w:val="2"/>
        </w:numPr>
        <w:kinsoku/>
        <w:wordWrap/>
        <w:overflowPunct/>
        <w:topLinePunct w:val="0"/>
        <w:bidi w:val="0"/>
        <w:spacing w:line="336" w:lineRule="auto"/>
        <w:ind w:firstLine="0" w:firstLineChars="0"/>
        <w:rPr>
          <w:rFonts w:hint="eastAsia" w:ascii="宋体" w:hAnsi="宋体" w:eastAsia="宋体" w:cs="宋体"/>
          <w:b/>
          <w:sz w:val="24"/>
          <w:szCs w:val="24"/>
        </w:rPr>
      </w:pPr>
      <w:r>
        <w:rPr>
          <w:rFonts w:hint="eastAsia" w:ascii="宋体" w:hAnsi="宋体" w:eastAsia="宋体" w:cs="宋体"/>
          <w:b/>
          <w:sz w:val="24"/>
          <w:szCs w:val="24"/>
        </w:rPr>
        <w:t>主要试验或验证情况</w:t>
      </w:r>
    </w:p>
    <w:p w14:paraId="78CB7E64">
      <w:pPr>
        <w:pStyle w:val="20"/>
        <w:keepNext w:val="0"/>
        <w:keepLines w:val="0"/>
        <w:pageBreakBefore w:val="0"/>
        <w:numPr>
          <w:ilvl w:val="0"/>
          <w:numId w:val="0"/>
        </w:numPr>
        <w:kinsoku/>
        <w:wordWrap/>
        <w:overflowPunct/>
        <w:topLinePunct w:val="0"/>
        <w:bidi w:val="0"/>
        <w:spacing w:line="336"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标准修订过程中，编制组结合近年来国内钢结构无脚手架施工的工程实践，对关键技术内容进行了验证。设备选型与配置方面，汽车起重机、履带起重机及移动式升降工作平台已在不同高度、跨度及场地条件的项目中应用，设备安全装置齐全有效，运行稳定可靠；工艺工法方面，“起重机+升降平台双机协同”的钢柱主梁安装、屋面机械上料与电动锁边、围护系统多平台集群作业、防火涂料机械喷涂及双平台协同安装重型设施等工艺已在多项工程中实施，施工效率较传统脚手架方式明显提升；安全与质量控制方面，力矩限制器、称重传感器、倾角传感器等实时监控手段以及高强螺栓机械紧固、机械焊接等关键环节的控制措施，已在工程实践中验证有效；在施工监测方面，风速风向、温湿度等作业环境监测及钢结构变形、基础沉降监测要求，与BIM模型比对分析相结合，已在工程中应用。综上，本标准主要技术内容经工程实践验证，具备推广应用条件。</w:t>
      </w:r>
    </w:p>
    <w:p w14:paraId="44D7285E">
      <w:pPr>
        <w:pStyle w:val="20"/>
        <w:keepNext w:val="0"/>
        <w:keepLines w:val="0"/>
        <w:pageBreakBefore w:val="0"/>
        <w:kinsoku/>
        <w:wordWrap/>
        <w:overflowPunct/>
        <w:topLinePunct w:val="0"/>
        <w:bidi w:val="0"/>
        <w:spacing w:line="336" w:lineRule="auto"/>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、推广应用论证和预期达到的经济效益、社会效益和生态效益等</w:t>
      </w:r>
    </w:p>
    <w:p w14:paraId="6F545319">
      <w:pPr>
        <w:keepNext w:val="0"/>
        <w:keepLines w:val="0"/>
        <w:pageBreakBefore w:val="0"/>
        <w:widowControl/>
        <w:kinsoku/>
        <w:wordWrap/>
        <w:overflowPunct/>
        <w:topLinePunct w:val="0"/>
        <w:bidi w:val="0"/>
        <w:adjustRightInd w:val="0"/>
        <w:snapToGrid w:val="0"/>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color w:val="auto"/>
          <w:sz w:val="24"/>
          <w:szCs w:val="24"/>
          <w:lang w:val="en-US" w:eastAsia="zh-CN"/>
        </w:rPr>
        <w:t>钢结构安装无脚手架施工工艺规程</w:t>
      </w:r>
      <w:r>
        <w:rPr>
          <w:rFonts w:hint="eastAsia" w:ascii="宋体" w:hAnsi="宋体" w:eastAsia="宋体" w:cs="宋体"/>
          <w:sz w:val="24"/>
          <w:szCs w:val="24"/>
        </w:rPr>
        <w:t>》在</w:t>
      </w:r>
      <w:r>
        <w:rPr>
          <w:rFonts w:hint="eastAsia" w:ascii="宋体" w:hAnsi="宋体" w:eastAsia="宋体" w:cs="宋体"/>
          <w:kern w:val="0"/>
          <w:sz w:val="24"/>
          <w:szCs w:val="24"/>
          <w:lang w:val="en-US" w:eastAsia="zh-CN"/>
        </w:rPr>
        <w:t>相关</w:t>
      </w:r>
      <w:r>
        <w:rPr>
          <w:rFonts w:hint="eastAsia" w:ascii="宋体" w:hAnsi="宋体" w:eastAsia="宋体" w:cs="宋体"/>
          <w:sz w:val="24"/>
          <w:szCs w:val="24"/>
        </w:rPr>
        <w:t>企业推广应用后，将改变目前</w:t>
      </w:r>
      <w:r>
        <w:rPr>
          <w:rFonts w:hint="eastAsia" w:ascii="宋体" w:hAnsi="宋体" w:eastAsia="宋体" w:cs="宋体"/>
          <w:sz w:val="24"/>
          <w:szCs w:val="24"/>
          <w:lang w:val="en-US" w:eastAsia="zh-CN"/>
        </w:rPr>
        <w:t>钢结构安装中的基本工法，使安装作业更加人性化、更加安全可靠、更加经济适用</w:t>
      </w:r>
      <w:r>
        <w:rPr>
          <w:rFonts w:hint="eastAsia" w:ascii="宋体" w:hAnsi="宋体" w:eastAsia="宋体" w:cs="宋体"/>
          <w:sz w:val="24"/>
          <w:szCs w:val="24"/>
        </w:rPr>
        <w:t>。进而方便用户对</w:t>
      </w:r>
      <w:r>
        <w:rPr>
          <w:rFonts w:hint="eastAsia" w:ascii="宋体" w:hAnsi="宋体" w:eastAsia="宋体" w:cs="宋体"/>
          <w:sz w:val="24"/>
          <w:szCs w:val="24"/>
          <w:lang w:val="en-US" w:eastAsia="zh-CN"/>
        </w:rPr>
        <w:t>高空作业设备的</w:t>
      </w:r>
      <w:r>
        <w:rPr>
          <w:rFonts w:hint="eastAsia" w:ascii="宋体" w:hAnsi="宋体" w:eastAsia="宋体" w:cs="宋体"/>
          <w:sz w:val="24"/>
          <w:szCs w:val="24"/>
        </w:rPr>
        <w:t>安装拆卸、安全使用、维护保养</w:t>
      </w:r>
      <w:r>
        <w:rPr>
          <w:rFonts w:hint="eastAsia" w:ascii="宋体" w:hAnsi="宋体" w:eastAsia="宋体" w:cs="宋体"/>
          <w:sz w:val="24"/>
          <w:szCs w:val="24"/>
          <w:lang w:eastAsia="zh-CN"/>
        </w:rPr>
        <w:t>、</w:t>
      </w:r>
      <w:r>
        <w:rPr>
          <w:rFonts w:hint="eastAsia" w:ascii="宋体" w:hAnsi="宋体" w:eastAsia="宋体" w:cs="宋体"/>
          <w:sz w:val="24"/>
          <w:szCs w:val="24"/>
        </w:rPr>
        <w:t>排除故障、事故处理、</w:t>
      </w:r>
      <w:r>
        <w:rPr>
          <w:rFonts w:hint="eastAsia" w:ascii="宋体" w:hAnsi="宋体" w:eastAsia="宋体" w:cs="宋体"/>
          <w:sz w:val="24"/>
          <w:szCs w:val="24"/>
          <w:lang w:val="en-US" w:eastAsia="zh-CN"/>
        </w:rPr>
        <w:t>设备</w:t>
      </w:r>
      <w:r>
        <w:rPr>
          <w:rFonts w:hint="eastAsia" w:ascii="宋体" w:hAnsi="宋体" w:eastAsia="宋体" w:cs="宋体"/>
          <w:sz w:val="24"/>
          <w:szCs w:val="24"/>
        </w:rPr>
        <w:t>操作人员培训提供重要支持。</w:t>
      </w:r>
    </w:p>
    <w:p w14:paraId="27725285">
      <w:pPr>
        <w:pStyle w:val="20"/>
        <w:keepNext w:val="0"/>
        <w:keepLines w:val="0"/>
        <w:pageBreakBefore w:val="0"/>
        <w:kinsoku/>
        <w:wordWrap/>
        <w:overflowPunct/>
        <w:topLinePunct w:val="0"/>
        <w:bidi w:val="0"/>
        <w:spacing w:line="336" w:lineRule="auto"/>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五</w:t>
      </w:r>
      <w:r>
        <w:rPr>
          <w:rFonts w:hint="eastAsia" w:ascii="宋体" w:hAnsi="宋体" w:eastAsia="宋体" w:cs="宋体"/>
          <w:b/>
          <w:sz w:val="24"/>
          <w:szCs w:val="24"/>
        </w:rPr>
        <w:t>、国内外标准的研究情况说明</w:t>
      </w:r>
    </w:p>
    <w:p w14:paraId="6C902650">
      <w:pPr>
        <w:keepNext w:val="0"/>
        <w:keepLines w:val="0"/>
        <w:pageBreakBefore w:val="0"/>
        <w:kinsoku/>
        <w:wordWrap/>
        <w:overflowPunct/>
        <w:topLinePunct w:val="0"/>
        <w:bidi w:val="0"/>
        <w:adjustRightInd w:val="0"/>
        <w:snapToGrid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color w:val="auto"/>
          <w:sz w:val="24"/>
          <w:szCs w:val="24"/>
          <w:lang w:val="en-US" w:eastAsia="zh-CN"/>
        </w:rPr>
        <w:t>钢结构安装无脚手架施工工艺规程</w:t>
      </w:r>
      <w:r>
        <w:rPr>
          <w:rFonts w:hint="eastAsia" w:ascii="宋体" w:hAnsi="宋体" w:eastAsia="宋体" w:cs="宋体"/>
          <w:sz w:val="24"/>
          <w:szCs w:val="24"/>
        </w:rPr>
        <w:t>》引用了GB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50205《钢结构工程施工</w:t>
      </w:r>
      <w:r>
        <w:rPr>
          <w:rFonts w:hint="eastAsia" w:ascii="宋体" w:hAnsi="宋体" w:eastAsia="宋体" w:cs="宋体"/>
          <w:sz w:val="24"/>
          <w:szCs w:val="24"/>
          <w:lang w:val="en-US" w:eastAsia="zh-CN"/>
        </w:rPr>
        <w:t>质量</w:t>
      </w:r>
      <w:r>
        <w:rPr>
          <w:rFonts w:hint="eastAsia" w:ascii="宋体" w:hAnsi="宋体" w:eastAsia="宋体" w:cs="宋体"/>
          <w:sz w:val="24"/>
          <w:szCs w:val="24"/>
        </w:rPr>
        <w:t>验收</w:t>
      </w:r>
      <w:r>
        <w:rPr>
          <w:rFonts w:hint="eastAsia" w:ascii="宋体" w:hAnsi="宋体" w:eastAsia="宋体" w:cs="宋体"/>
          <w:sz w:val="24"/>
          <w:szCs w:val="24"/>
          <w:lang w:val="en-US" w:eastAsia="zh-CN"/>
        </w:rPr>
        <w:t>标准</w:t>
      </w:r>
      <w:r>
        <w:rPr>
          <w:rFonts w:hint="eastAsia" w:ascii="宋体" w:hAnsi="宋体" w:eastAsia="宋体" w:cs="宋体"/>
          <w:sz w:val="24"/>
          <w:szCs w:val="24"/>
        </w:rPr>
        <w:t>》与</w:t>
      </w:r>
      <w:r>
        <w:rPr>
          <w:rFonts w:hint="default" w:ascii="宋体" w:hAnsi="宋体" w:eastAsia="宋体" w:cs="宋体"/>
          <w:sz w:val="24"/>
          <w:szCs w:val="24"/>
          <w:lang w:val="en-US" w:eastAsia="zh-CN"/>
        </w:rPr>
        <w:t>GB/T</w:t>
      </w:r>
      <w:r>
        <w:rPr>
          <w:rFonts w:hint="eastAsia" w:ascii="宋体" w:hAnsi="宋体" w:eastAsia="宋体" w:cs="宋体"/>
          <w:sz w:val="24"/>
          <w:szCs w:val="24"/>
          <w:lang w:val="en-US" w:eastAsia="zh-CN"/>
        </w:rPr>
        <w:t xml:space="preserve"> </w:t>
      </w:r>
      <w:r>
        <w:rPr>
          <w:rFonts w:hint="default" w:ascii="宋体" w:hAnsi="宋体" w:eastAsia="宋体" w:cs="宋体"/>
          <w:sz w:val="24"/>
          <w:szCs w:val="24"/>
          <w:lang w:val="en-US" w:eastAsia="zh-CN"/>
        </w:rPr>
        <w:t>25849</w:t>
      </w:r>
      <w:r>
        <w:rPr>
          <w:rFonts w:hint="eastAsia" w:ascii="宋体" w:hAnsi="宋体" w:eastAsia="宋体" w:cs="宋体"/>
          <w:sz w:val="24"/>
          <w:szCs w:val="24"/>
          <w:lang w:val="en-US" w:eastAsia="zh-CN"/>
        </w:rPr>
        <w:t xml:space="preserve"> 《移动式升降工作平台 设计、计算、安全要求和试验方法》等一些相关内容。</w:t>
      </w:r>
      <w:r>
        <w:rPr>
          <w:rFonts w:hint="eastAsia" w:ascii="宋体" w:hAnsi="宋体" w:eastAsia="宋体" w:cs="宋体"/>
          <w:sz w:val="24"/>
          <w:szCs w:val="24"/>
        </w:rPr>
        <w:t>但本标准针对</w:t>
      </w:r>
      <w:r>
        <w:rPr>
          <w:rFonts w:hint="eastAsia" w:ascii="宋体" w:hAnsi="宋体" w:eastAsia="宋体" w:cs="宋体"/>
          <w:sz w:val="24"/>
          <w:szCs w:val="24"/>
          <w:lang w:val="en-US" w:eastAsia="zh-CN"/>
        </w:rPr>
        <w:t>钢结构安装无脚手架施工</w:t>
      </w:r>
      <w:r>
        <w:rPr>
          <w:rFonts w:hint="eastAsia" w:ascii="宋体" w:hAnsi="宋体" w:eastAsia="宋体" w:cs="宋体"/>
          <w:sz w:val="24"/>
          <w:szCs w:val="24"/>
        </w:rPr>
        <w:t>更有针对性、规定更全面，更具可执行性。</w:t>
      </w:r>
    </w:p>
    <w:p w14:paraId="2F5B9546">
      <w:pPr>
        <w:keepNext w:val="0"/>
        <w:keepLines w:val="0"/>
        <w:pageBreakBefore w:val="0"/>
        <w:widowControl/>
        <w:numPr>
          <w:ilvl w:val="0"/>
          <w:numId w:val="3"/>
        </w:numPr>
        <w:kinsoku/>
        <w:wordWrap/>
        <w:overflowPunct/>
        <w:topLinePunct w:val="0"/>
        <w:bidi w:val="0"/>
        <w:adjustRightInd w:val="0"/>
        <w:snapToGrid w:val="0"/>
        <w:spacing w:line="336" w:lineRule="auto"/>
        <w:jc w:val="left"/>
        <w:rPr>
          <w:rFonts w:hint="eastAsia" w:ascii="宋体" w:hAnsi="宋体" w:eastAsia="宋体" w:cs="宋体"/>
          <w:b/>
          <w:bCs/>
          <w:sz w:val="24"/>
          <w:szCs w:val="24"/>
        </w:rPr>
      </w:pPr>
      <w:r>
        <w:rPr>
          <w:rFonts w:hint="eastAsia" w:ascii="宋体" w:hAnsi="宋体" w:eastAsia="宋体" w:cs="宋体"/>
          <w:b/>
          <w:bCs/>
          <w:sz w:val="24"/>
          <w:szCs w:val="24"/>
        </w:rPr>
        <w:t>采用国际标准和国外先进标准及对比情况</w:t>
      </w:r>
    </w:p>
    <w:p w14:paraId="5018DFFA">
      <w:pPr>
        <w:keepNext w:val="0"/>
        <w:keepLines w:val="0"/>
        <w:pageBreakBefore w:val="0"/>
        <w:kinsoku/>
        <w:wordWrap/>
        <w:overflowPunct/>
        <w:topLinePunct w:val="0"/>
        <w:bidi w:val="0"/>
        <w:adjustRightInd w:val="0"/>
        <w:snapToGrid w:val="0"/>
        <w:spacing w:line="33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本标准没有采用国际、国外标准。</w:t>
      </w:r>
    </w:p>
    <w:p w14:paraId="252495DE">
      <w:pPr>
        <w:keepNext w:val="0"/>
        <w:keepLines w:val="0"/>
        <w:pageBreakBefore w:val="0"/>
        <w:widowControl/>
        <w:kinsoku/>
        <w:wordWrap/>
        <w:overflowPunct/>
        <w:topLinePunct w:val="0"/>
        <w:bidi w:val="0"/>
        <w:adjustRightInd w:val="0"/>
        <w:snapToGrid w:val="0"/>
        <w:spacing w:line="336"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七</w:t>
      </w:r>
      <w:r>
        <w:rPr>
          <w:rFonts w:hint="eastAsia" w:ascii="宋体" w:hAnsi="宋体" w:eastAsia="宋体" w:cs="宋体"/>
          <w:b/>
          <w:bCs/>
          <w:sz w:val="24"/>
          <w:szCs w:val="24"/>
        </w:rPr>
        <w:t>、标准重大分歧意见的处理经过和依据</w:t>
      </w:r>
    </w:p>
    <w:p w14:paraId="4198ADFB">
      <w:pPr>
        <w:keepNext w:val="0"/>
        <w:keepLines w:val="0"/>
        <w:pageBreakBefore w:val="0"/>
        <w:widowControl/>
        <w:kinsoku/>
        <w:wordWrap/>
        <w:overflowPunct/>
        <w:topLinePunct w:val="0"/>
        <w:bidi w:val="0"/>
        <w:adjustRightInd w:val="0"/>
        <w:snapToGrid w:val="0"/>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没有重大分歧。</w:t>
      </w:r>
    </w:p>
    <w:p w14:paraId="1256489B">
      <w:pPr>
        <w:pStyle w:val="20"/>
        <w:keepNext w:val="0"/>
        <w:keepLines w:val="0"/>
        <w:pageBreakBefore w:val="0"/>
        <w:kinsoku/>
        <w:wordWrap/>
        <w:overflowPunct/>
        <w:topLinePunct w:val="0"/>
        <w:bidi w:val="0"/>
        <w:spacing w:line="336" w:lineRule="auto"/>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八</w:t>
      </w:r>
      <w:r>
        <w:rPr>
          <w:rFonts w:hint="eastAsia" w:ascii="宋体" w:hAnsi="宋体" w:eastAsia="宋体" w:cs="宋体"/>
          <w:b/>
          <w:sz w:val="24"/>
          <w:szCs w:val="24"/>
        </w:rPr>
        <w:t>、涉及专利的有关说明</w:t>
      </w:r>
    </w:p>
    <w:p w14:paraId="358FA32A">
      <w:pPr>
        <w:pStyle w:val="20"/>
        <w:keepNext w:val="0"/>
        <w:keepLines w:val="0"/>
        <w:pageBreakBefore w:val="0"/>
        <w:kinsoku/>
        <w:wordWrap/>
        <w:overflowPunct/>
        <w:topLinePunct w:val="0"/>
        <w:bidi w:val="0"/>
        <w:spacing w:line="336" w:lineRule="auto"/>
        <w:ind w:firstLine="0" w:firstLineChars="0"/>
        <w:rPr>
          <w:rFonts w:hint="eastAsia" w:ascii="宋体" w:hAnsi="宋体" w:eastAsia="宋体" w:cs="宋体"/>
          <w:sz w:val="24"/>
          <w:szCs w:val="24"/>
        </w:rPr>
      </w:pPr>
      <w:r>
        <w:rPr>
          <w:rFonts w:hint="eastAsia" w:ascii="宋体" w:hAnsi="宋体" w:eastAsia="宋体" w:cs="宋体"/>
          <w:sz w:val="24"/>
          <w:szCs w:val="24"/>
        </w:rPr>
        <w:t xml:space="preserve">    本标准不涉及专利。</w:t>
      </w:r>
    </w:p>
    <w:p w14:paraId="69738DCB">
      <w:pPr>
        <w:keepNext w:val="0"/>
        <w:keepLines w:val="0"/>
        <w:pageBreakBefore w:val="0"/>
        <w:widowControl/>
        <w:kinsoku/>
        <w:wordWrap/>
        <w:overflowPunct/>
        <w:topLinePunct w:val="0"/>
        <w:bidi w:val="0"/>
        <w:adjustRightInd w:val="0"/>
        <w:snapToGrid w:val="0"/>
        <w:spacing w:line="336"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九</w:t>
      </w:r>
      <w:r>
        <w:rPr>
          <w:rFonts w:hint="eastAsia" w:ascii="宋体" w:hAnsi="宋体" w:eastAsia="宋体" w:cs="宋体"/>
          <w:b/>
          <w:bCs/>
          <w:sz w:val="24"/>
          <w:szCs w:val="24"/>
        </w:rPr>
        <w:t>、标准贯彻实施的要求和措施建议</w:t>
      </w:r>
    </w:p>
    <w:p w14:paraId="539493D9">
      <w:pPr>
        <w:keepNext w:val="0"/>
        <w:keepLines w:val="0"/>
        <w:pageBreakBefore w:val="0"/>
        <w:widowControl/>
        <w:kinsoku/>
        <w:wordWrap/>
        <w:overflowPunct/>
        <w:topLinePunct w:val="0"/>
        <w:bidi w:val="0"/>
        <w:adjustRightInd w:val="0"/>
        <w:snapToGrid w:val="0"/>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建议本标准在</w:t>
      </w:r>
      <w:r>
        <w:rPr>
          <w:rFonts w:hint="eastAsia" w:ascii="宋体" w:hAnsi="宋体" w:eastAsia="宋体" w:cs="宋体"/>
          <w:kern w:val="0"/>
          <w:sz w:val="24"/>
          <w:szCs w:val="24"/>
          <w:lang w:val="en-US" w:eastAsia="zh-CN"/>
        </w:rPr>
        <w:t>钢结构安装参建单位中</w:t>
      </w:r>
      <w:r>
        <w:rPr>
          <w:rFonts w:hint="eastAsia" w:ascii="宋体" w:hAnsi="宋体" w:eastAsia="宋体" w:cs="宋体"/>
          <w:sz w:val="24"/>
          <w:szCs w:val="24"/>
        </w:rPr>
        <w:t>全面推广应用。</w:t>
      </w:r>
    </w:p>
    <w:p w14:paraId="7CA139FA">
      <w:pPr>
        <w:keepNext w:val="0"/>
        <w:keepLines w:val="0"/>
        <w:pageBreakBefore w:val="0"/>
        <w:widowControl/>
        <w:kinsoku/>
        <w:wordWrap/>
        <w:overflowPunct/>
        <w:topLinePunct w:val="0"/>
        <w:bidi w:val="0"/>
        <w:adjustRightInd w:val="0"/>
        <w:snapToGrid w:val="0"/>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希望中国</w:t>
      </w:r>
      <w:r>
        <w:rPr>
          <w:rFonts w:hint="eastAsia" w:ascii="宋体" w:hAnsi="宋体" w:eastAsia="宋体" w:cs="宋体"/>
          <w:sz w:val="24"/>
          <w:szCs w:val="24"/>
          <w:lang w:eastAsia="zh-CN"/>
        </w:rPr>
        <w:t>工程</w:t>
      </w:r>
      <w:r>
        <w:rPr>
          <w:rFonts w:hint="eastAsia" w:ascii="宋体" w:hAnsi="宋体" w:eastAsia="宋体" w:cs="宋体"/>
          <w:sz w:val="24"/>
          <w:szCs w:val="24"/>
        </w:rPr>
        <w:t>机械工业协会将本标准视为强制性团体标准，大力推动在高空作业机械行业的应用。</w:t>
      </w:r>
    </w:p>
    <w:p w14:paraId="39CEA1D7">
      <w:pPr>
        <w:keepNext w:val="0"/>
        <w:keepLines w:val="0"/>
        <w:pageBreakBefore w:val="0"/>
        <w:widowControl/>
        <w:kinsoku/>
        <w:wordWrap/>
        <w:overflowPunct/>
        <w:topLinePunct w:val="0"/>
        <w:bidi w:val="0"/>
        <w:adjustRightInd w:val="0"/>
        <w:snapToGrid w:val="0"/>
        <w:spacing w:line="336" w:lineRule="auto"/>
        <w:jc w:val="left"/>
        <w:rPr>
          <w:rFonts w:hint="eastAsia" w:ascii="宋体" w:hAnsi="宋体" w:eastAsia="宋体" w:cs="宋体"/>
          <w:b/>
          <w:bCs/>
          <w:sz w:val="24"/>
          <w:szCs w:val="24"/>
        </w:rPr>
      </w:pPr>
      <w:r>
        <w:rPr>
          <w:rFonts w:hint="eastAsia" w:ascii="宋体" w:hAnsi="宋体" w:eastAsia="宋体" w:cs="宋体"/>
          <w:b/>
          <w:bCs/>
          <w:sz w:val="24"/>
          <w:szCs w:val="24"/>
        </w:rPr>
        <w:t>十、废止现行相关标准的建议</w:t>
      </w:r>
    </w:p>
    <w:p w14:paraId="4F425B1C">
      <w:pPr>
        <w:keepNext w:val="0"/>
        <w:keepLines w:val="0"/>
        <w:pageBreakBefore w:val="0"/>
        <w:widowControl/>
        <w:kinsoku/>
        <w:wordWrap/>
        <w:overflowPunct/>
        <w:topLinePunct w:val="0"/>
        <w:bidi w:val="0"/>
        <w:adjustRightInd w:val="0"/>
        <w:snapToGrid w:val="0"/>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执行本标准，需要废止的标准</w:t>
      </w:r>
      <w:r>
        <w:rPr>
          <w:rFonts w:hint="eastAsia" w:ascii="宋体" w:hAnsi="宋体" w:eastAsia="宋体" w:cs="宋体"/>
          <w:sz w:val="24"/>
          <w:szCs w:val="24"/>
          <w:lang w:val="en-US" w:eastAsia="zh-CN"/>
        </w:rPr>
        <w:t>为T/CCMA 0019-2011</w:t>
      </w:r>
      <w:r>
        <w:rPr>
          <w:rFonts w:hint="eastAsia" w:ascii="宋体" w:hAnsi="宋体" w:eastAsia="宋体" w:cs="宋体"/>
          <w:sz w:val="24"/>
          <w:szCs w:val="24"/>
        </w:rPr>
        <w:t>《</w:t>
      </w:r>
      <w:r>
        <w:rPr>
          <w:rFonts w:hint="eastAsia"/>
          <w:sz w:val="24"/>
          <w:szCs w:val="24"/>
          <w:lang w:val="en-US" w:eastAsia="zh-CN"/>
        </w:rPr>
        <w:t>钢结构安装无脚手架施工工法</w:t>
      </w:r>
      <w:r>
        <w:rPr>
          <w:rFonts w:hint="eastAsia" w:ascii="宋体" w:hAnsi="宋体" w:eastAsia="宋体" w:cs="宋体"/>
          <w:sz w:val="24"/>
          <w:szCs w:val="24"/>
        </w:rPr>
        <w:t>》。</w:t>
      </w:r>
    </w:p>
    <w:p w14:paraId="13F8BF91">
      <w:pPr>
        <w:keepNext w:val="0"/>
        <w:keepLines w:val="0"/>
        <w:pageBreakBefore w:val="0"/>
        <w:widowControl/>
        <w:numPr>
          <w:ilvl w:val="0"/>
          <w:numId w:val="0"/>
        </w:numPr>
        <w:kinsoku/>
        <w:wordWrap/>
        <w:overflowPunct/>
        <w:topLinePunct w:val="0"/>
        <w:bidi w:val="0"/>
        <w:adjustRightInd w:val="0"/>
        <w:snapToGrid w:val="0"/>
        <w:spacing w:line="336"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十一、</w:t>
      </w:r>
      <w:r>
        <w:rPr>
          <w:rFonts w:hint="eastAsia" w:ascii="宋体" w:hAnsi="宋体" w:eastAsia="宋体" w:cs="宋体"/>
          <w:b/>
          <w:bCs/>
          <w:sz w:val="24"/>
          <w:szCs w:val="24"/>
        </w:rPr>
        <w:t>其他应予说明的事项</w:t>
      </w:r>
    </w:p>
    <w:p w14:paraId="03F18CF2">
      <w:pPr>
        <w:keepNext w:val="0"/>
        <w:keepLines w:val="0"/>
        <w:pageBreakBefore w:val="0"/>
        <w:widowControl/>
        <w:kinsoku/>
        <w:wordWrap/>
        <w:overflowPunct/>
        <w:topLinePunct w:val="0"/>
        <w:bidi w:val="0"/>
        <w:spacing w:line="336"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无。</w:t>
      </w:r>
    </w:p>
    <w:p w14:paraId="579A5297">
      <w:pPr>
        <w:keepNext w:val="0"/>
        <w:keepLines w:val="0"/>
        <w:pageBreakBefore w:val="0"/>
        <w:widowControl/>
        <w:kinsoku/>
        <w:wordWrap/>
        <w:overflowPunct/>
        <w:topLinePunct w:val="0"/>
        <w:bidi w:val="0"/>
        <w:spacing w:line="336"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color w:val="auto"/>
          <w:sz w:val="24"/>
          <w:szCs w:val="24"/>
          <w:lang w:val="en-US" w:eastAsia="zh-CN"/>
        </w:rPr>
        <w:t>钢结构安装无脚手架施工工艺规程</w:t>
      </w:r>
      <w:r>
        <w:rPr>
          <w:rFonts w:hint="eastAsia" w:ascii="宋体" w:hAnsi="宋体" w:eastAsia="宋体" w:cs="宋体"/>
          <w:sz w:val="24"/>
          <w:szCs w:val="24"/>
        </w:rPr>
        <w:t>》团体标准 编制组</w:t>
      </w:r>
    </w:p>
    <w:p w14:paraId="3D35BB83">
      <w:pPr>
        <w:keepNext w:val="0"/>
        <w:keepLines w:val="0"/>
        <w:pageBreakBefore w:val="0"/>
        <w:widowControl/>
        <w:kinsoku/>
        <w:wordWrap/>
        <w:overflowPunct/>
        <w:topLinePunct w:val="0"/>
        <w:bidi w:val="0"/>
        <w:spacing w:line="336" w:lineRule="auto"/>
        <w:ind w:firstLine="480" w:firstLineChars="200"/>
        <w:jc w:val="right"/>
        <w:rPr>
          <w:rFonts w:hint="eastAsia" w:ascii="宋体" w:hAnsi="宋体" w:eastAsia="宋体" w:cs="宋体"/>
          <w:sz w:val="24"/>
          <w:szCs w:val="24"/>
          <w:lang w:val="en-US" w:eastAsia="zh-CN"/>
        </w:rPr>
      </w:pPr>
      <w:r>
        <w:rPr>
          <w:rFonts w:hint="eastAsia" w:ascii="宋体" w:hAnsi="宋体" w:eastAsia="宋体" w:cs="宋体"/>
          <w:sz w:val="24"/>
          <w:szCs w:val="24"/>
        </w:rPr>
        <w:t>202</w:t>
      </w:r>
      <w:r>
        <w:rPr>
          <w:rFonts w:hint="eastAsia" w:ascii="宋体" w:hAnsi="宋体" w:eastAsia="宋体" w:cs="宋体"/>
          <w:sz w:val="24"/>
          <w:szCs w:val="24"/>
          <w:lang w:val="en-US" w:eastAsia="zh-CN"/>
        </w:rPr>
        <w:t>6.7.1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1467C"/>
    <w:multiLevelType w:val="multilevel"/>
    <w:tmpl w:val="A951467C"/>
    <w:lvl w:ilvl="0" w:tentative="0">
      <w:start w:val="1"/>
      <w:numFmt w:val="lowerLetter"/>
      <w:pStyle w:val="1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62D6550"/>
    <w:multiLevelType w:val="singleLevel"/>
    <w:tmpl w:val="F62D6550"/>
    <w:lvl w:ilvl="0" w:tentative="0">
      <w:start w:val="3"/>
      <w:numFmt w:val="chineseCounting"/>
      <w:suff w:val="nothing"/>
      <w:lvlText w:val="%1、"/>
      <w:lvlJc w:val="left"/>
      <w:rPr>
        <w:rFonts w:hint="eastAsia"/>
      </w:rPr>
    </w:lvl>
  </w:abstractNum>
  <w:abstractNum w:abstractNumId="2">
    <w:nsid w:val="6FA227EE"/>
    <w:multiLevelType w:val="singleLevel"/>
    <w:tmpl w:val="6FA227EE"/>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OWE2NWVmNjYxNTUwMjgzNmQxYmFlOTNlODdhOTAifQ=="/>
  </w:docVars>
  <w:rsids>
    <w:rsidRoot w:val="2A3A0840"/>
    <w:rsid w:val="000247DE"/>
    <w:rsid w:val="00045B8F"/>
    <w:rsid w:val="00047D66"/>
    <w:rsid w:val="0005606C"/>
    <w:rsid w:val="00071314"/>
    <w:rsid w:val="000B1E13"/>
    <w:rsid w:val="00105853"/>
    <w:rsid w:val="00123895"/>
    <w:rsid w:val="001631E9"/>
    <w:rsid w:val="00173DBF"/>
    <w:rsid w:val="001C709C"/>
    <w:rsid w:val="001E68D4"/>
    <w:rsid w:val="001F5859"/>
    <w:rsid w:val="00240ED3"/>
    <w:rsid w:val="00273EBA"/>
    <w:rsid w:val="003E7934"/>
    <w:rsid w:val="00412AAC"/>
    <w:rsid w:val="00415922"/>
    <w:rsid w:val="0044056B"/>
    <w:rsid w:val="00454E68"/>
    <w:rsid w:val="0046587D"/>
    <w:rsid w:val="00473E0F"/>
    <w:rsid w:val="005579BA"/>
    <w:rsid w:val="0058497F"/>
    <w:rsid w:val="00591469"/>
    <w:rsid w:val="005C4202"/>
    <w:rsid w:val="005D0E53"/>
    <w:rsid w:val="00600DDA"/>
    <w:rsid w:val="0064154D"/>
    <w:rsid w:val="006643F7"/>
    <w:rsid w:val="00673DDF"/>
    <w:rsid w:val="0069140E"/>
    <w:rsid w:val="006D5917"/>
    <w:rsid w:val="006E0C2A"/>
    <w:rsid w:val="0074700A"/>
    <w:rsid w:val="007755C5"/>
    <w:rsid w:val="00792047"/>
    <w:rsid w:val="007E58BC"/>
    <w:rsid w:val="008304FE"/>
    <w:rsid w:val="00850435"/>
    <w:rsid w:val="00850F22"/>
    <w:rsid w:val="008573F5"/>
    <w:rsid w:val="00880451"/>
    <w:rsid w:val="0091108A"/>
    <w:rsid w:val="00981B3C"/>
    <w:rsid w:val="009924A8"/>
    <w:rsid w:val="009D2C3B"/>
    <w:rsid w:val="00A240AB"/>
    <w:rsid w:val="00A4767C"/>
    <w:rsid w:val="00AB0870"/>
    <w:rsid w:val="00AE75BB"/>
    <w:rsid w:val="00AF06A8"/>
    <w:rsid w:val="00B65A49"/>
    <w:rsid w:val="00B91D8E"/>
    <w:rsid w:val="00BA451C"/>
    <w:rsid w:val="00BF414C"/>
    <w:rsid w:val="00C46BB9"/>
    <w:rsid w:val="00C476E2"/>
    <w:rsid w:val="00C673FE"/>
    <w:rsid w:val="00C86CB7"/>
    <w:rsid w:val="00CB3070"/>
    <w:rsid w:val="00CC7688"/>
    <w:rsid w:val="00D11479"/>
    <w:rsid w:val="00D23AF1"/>
    <w:rsid w:val="00D46CCC"/>
    <w:rsid w:val="00D6216A"/>
    <w:rsid w:val="00DE6295"/>
    <w:rsid w:val="00EB2BDC"/>
    <w:rsid w:val="00ED14A5"/>
    <w:rsid w:val="00ED2AB7"/>
    <w:rsid w:val="00EE3645"/>
    <w:rsid w:val="00F06266"/>
    <w:rsid w:val="00F834AA"/>
    <w:rsid w:val="00FC61E8"/>
    <w:rsid w:val="0209677F"/>
    <w:rsid w:val="044923AE"/>
    <w:rsid w:val="0482288A"/>
    <w:rsid w:val="06654211"/>
    <w:rsid w:val="07034156"/>
    <w:rsid w:val="07832BA1"/>
    <w:rsid w:val="07CC279A"/>
    <w:rsid w:val="07FC65BE"/>
    <w:rsid w:val="08055CAB"/>
    <w:rsid w:val="082E5202"/>
    <w:rsid w:val="083A3DFD"/>
    <w:rsid w:val="084F33CB"/>
    <w:rsid w:val="0A384381"/>
    <w:rsid w:val="0AAB44EE"/>
    <w:rsid w:val="0AC21C32"/>
    <w:rsid w:val="0AE11619"/>
    <w:rsid w:val="0E130CAA"/>
    <w:rsid w:val="10DF443B"/>
    <w:rsid w:val="12CC6576"/>
    <w:rsid w:val="140B464A"/>
    <w:rsid w:val="1559160E"/>
    <w:rsid w:val="15EC04AB"/>
    <w:rsid w:val="16921D72"/>
    <w:rsid w:val="19AF7825"/>
    <w:rsid w:val="19B71C3B"/>
    <w:rsid w:val="1A6745A4"/>
    <w:rsid w:val="1AEF3B55"/>
    <w:rsid w:val="1CD87093"/>
    <w:rsid w:val="206F44D9"/>
    <w:rsid w:val="20F52909"/>
    <w:rsid w:val="23A22B70"/>
    <w:rsid w:val="24B228BF"/>
    <w:rsid w:val="25B15E2E"/>
    <w:rsid w:val="27240D17"/>
    <w:rsid w:val="27280C17"/>
    <w:rsid w:val="2A3A0840"/>
    <w:rsid w:val="2CF24B4B"/>
    <w:rsid w:val="2D23435A"/>
    <w:rsid w:val="2F721996"/>
    <w:rsid w:val="311852F6"/>
    <w:rsid w:val="319C0B7F"/>
    <w:rsid w:val="321A2D0F"/>
    <w:rsid w:val="37A60062"/>
    <w:rsid w:val="39153A00"/>
    <w:rsid w:val="3A0B05ED"/>
    <w:rsid w:val="3A5E2E76"/>
    <w:rsid w:val="3E1476D4"/>
    <w:rsid w:val="3E210442"/>
    <w:rsid w:val="3F7D6CFE"/>
    <w:rsid w:val="4083041E"/>
    <w:rsid w:val="40B7508E"/>
    <w:rsid w:val="40D20119"/>
    <w:rsid w:val="42847921"/>
    <w:rsid w:val="45FB4E1B"/>
    <w:rsid w:val="47D41223"/>
    <w:rsid w:val="48473274"/>
    <w:rsid w:val="497A4D24"/>
    <w:rsid w:val="4C215AB1"/>
    <w:rsid w:val="4C60482B"/>
    <w:rsid w:val="4E810A89"/>
    <w:rsid w:val="4FD20773"/>
    <w:rsid w:val="503F539A"/>
    <w:rsid w:val="50416722"/>
    <w:rsid w:val="51273B6A"/>
    <w:rsid w:val="56921A85"/>
    <w:rsid w:val="57BE71A9"/>
    <w:rsid w:val="59C72CE7"/>
    <w:rsid w:val="59F46BD2"/>
    <w:rsid w:val="5A7A5EE4"/>
    <w:rsid w:val="5B3475AF"/>
    <w:rsid w:val="5C2F5FC8"/>
    <w:rsid w:val="5E873E9A"/>
    <w:rsid w:val="5EF64B7B"/>
    <w:rsid w:val="5FB52C88"/>
    <w:rsid w:val="5FCB6733"/>
    <w:rsid w:val="606F72DB"/>
    <w:rsid w:val="61651546"/>
    <w:rsid w:val="64FA4DF8"/>
    <w:rsid w:val="672A5D0A"/>
    <w:rsid w:val="67900263"/>
    <w:rsid w:val="67F32C12"/>
    <w:rsid w:val="69122F8E"/>
    <w:rsid w:val="692E5807"/>
    <w:rsid w:val="6B1F5CAF"/>
    <w:rsid w:val="6C77379F"/>
    <w:rsid w:val="70141305"/>
    <w:rsid w:val="7110583A"/>
    <w:rsid w:val="73540D2A"/>
    <w:rsid w:val="751A680B"/>
    <w:rsid w:val="76191423"/>
    <w:rsid w:val="77AB4665"/>
    <w:rsid w:val="77F87BA5"/>
    <w:rsid w:val="7AD93128"/>
    <w:rsid w:val="7B443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spacing w:after="120"/>
    </w:pPr>
    <w:rPr>
      <w:rFonts w:ascii="Times New Roman" w:hAnsi="Times New Roman" w:eastAsia="宋体" w:cs="Times New Roman"/>
      <w:szCs w:val="20"/>
    </w:rPr>
  </w:style>
  <w:style w:type="paragraph" w:styleId="3">
    <w:name w:val="Plain Text"/>
    <w:basedOn w:val="1"/>
    <w:qFormat/>
    <w:uiPriority w:val="0"/>
    <w:rPr>
      <w:rFonts w:ascii="宋体" w:hAnsi="Courier New"/>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Emphasis"/>
    <w:qFormat/>
    <w:uiPriority w:val="0"/>
    <w:rPr>
      <w:i/>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 w:type="character" w:customStyle="1" w:styleId="12">
    <w:name w:val="正文文本 Char"/>
    <w:basedOn w:val="7"/>
    <w:qFormat/>
    <w:uiPriority w:val="0"/>
    <w:rPr>
      <w:kern w:val="2"/>
      <w:sz w:val="21"/>
      <w:szCs w:val="24"/>
    </w:rPr>
  </w:style>
  <w:style w:type="character" w:customStyle="1" w:styleId="13">
    <w:name w:val="正文文本 Char1"/>
    <w:link w:val="2"/>
    <w:qFormat/>
    <w:uiPriority w:val="0"/>
    <w:rPr>
      <w:rFonts w:ascii="Times New Roman" w:hAnsi="Times New Roman" w:eastAsia="宋体" w:cs="Times New Roman"/>
      <w:kern w:val="2"/>
      <w:sz w:val="21"/>
    </w:rPr>
  </w:style>
  <w:style w:type="paragraph" w:customStyle="1" w:styleId="1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
    <w:name w:val="封面一致性程度标识"/>
    <w:basedOn w:val="1"/>
    <w:qFormat/>
    <w:uiPriority w:val="0"/>
    <w:pPr>
      <w:framePr w:w="9639" w:h="6917" w:hRule="exact" w:wrap="around" w:vAnchor="page" w:hAnchor="page" w:xAlign="center" w:y="6408" w:anchorLock="1"/>
      <w:spacing w:before="440" w:line="400" w:lineRule="exact"/>
      <w:jc w:val="center"/>
      <w:textAlignment w:val="center"/>
    </w:pPr>
    <w:rPr>
      <w:rFonts w:ascii="宋体" w:hAnsi="Times New Roman" w:eastAsia="宋体" w:cs="Times New Roman"/>
      <w:kern w:val="0"/>
      <w:sz w:val="28"/>
      <w:szCs w:val="28"/>
    </w:rPr>
  </w:style>
  <w:style w:type="paragraph" w:customStyle="1" w:styleId="16">
    <w:name w:val="封面标准文稿类别"/>
    <w:basedOn w:val="15"/>
    <w:qFormat/>
    <w:uiPriority w:val="0"/>
    <w:pPr>
      <w:framePr w:wrap="around"/>
      <w:spacing w:after="160" w:line="240" w:lineRule="auto"/>
    </w:pPr>
    <w:rPr>
      <w:sz w:val="24"/>
    </w:rPr>
  </w:style>
  <w:style w:type="paragraph" w:customStyle="1" w:styleId="17">
    <w:name w:val="封面标准文稿编辑信息"/>
    <w:basedOn w:val="16"/>
    <w:qFormat/>
    <w:uiPriority w:val="0"/>
    <w:pPr>
      <w:framePr w:wrap="around"/>
      <w:spacing w:before="180" w:line="180" w:lineRule="exact"/>
    </w:pPr>
    <w:rPr>
      <w:sz w:val="21"/>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2465</Words>
  <Characters>2647</Characters>
  <Lines>20</Lines>
  <Paragraphs>5</Paragraphs>
  <TotalTime>4</TotalTime>
  <ScaleCrop>false</ScaleCrop>
  <LinksUpToDate>false</LinksUpToDate>
  <CharactersWithSpaces>2683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2022-10-19T00:58:00Z</dcterms:created>
  <dc:creator>张磊庆</dc:creator>
  <cp:lastModifiedBy>蒋燕</cp:lastModifiedBy>
  <dcterms:modified xsi:type="dcterms:W3CDTF">2026-07-31T04:13:31Z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D919D924467D4D7F9485459A859C680D_13</vt:lpwstr>
  </property>
  <property fmtid="{D5CDD505-2E9C-101B-9397-08002B2CF9AE}" pid="4" name="KSOTemplateDocerSaveRecord">
    <vt:lpwstr>eyJoZGlkIjoiMThkY2U3MTFjYzA4YTM2ZTRlYjc3ZDQ3ZGU3ZjM3NWIiLCJ1c2VySWQiOiI0MDQyMDAyOTcifQ==</vt:lpwstr>
  </property>
</Properties>
</file>